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4CD17" w14:textId="77777777" w:rsidR="00D12372" w:rsidRDefault="00022218">
      <w:pPr>
        <w:shd w:val="clear" w:color="auto" w:fill="FFFFFF"/>
        <w:ind w:left="5387" w:right="24"/>
        <w:rPr>
          <w:b w:val="0"/>
          <w:sz w:val="22"/>
          <w:szCs w:val="22"/>
        </w:rPr>
      </w:pPr>
      <w:r>
        <w:rPr>
          <w:b w:val="0"/>
          <w:spacing w:val="-7"/>
          <w:sz w:val="22"/>
          <w:szCs w:val="22"/>
        </w:rPr>
        <w:t>УТВЕРЖДАЮ:</w:t>
      </w:r>
    </w:p>
    <w:p w14:paraId="402CD90D" w14:textId="77777777" w:rsidR="00D12372" w:rsidRDefault="00022218">
      <w:pPr>
        <w:shd w:val="clear" w:color="auto" w:fill="FFFFFF"/>
        <w:ind w:left="5387" w:right="24"/>
        <w:rPr>
          <w:b w:val="0"/>
          <w:spacing w:val="-3"/>
          <w:sz w:val="22"/>
          <w:szCs w:val="22"/>
        </w:rPr>
      </w:pPr>
      <w:r>
        <w:rPr>
          <w:b w:val="0"/>
          <w:spacing w:val="-3"/>
          <w:sz w:val="22"/>
          <w:szCs w:val="22"/>
        </w:rPr>
        <w:t xml:space="preserve">Первый заместитель </w:t>
      </w:r>
    </w:p>
    <w:p w14:paraId="138F9E91" w14:textId="77777777" w:rsidR="00D12372" w:rsidRDefault="00022218">
      <w:pPr>
        <w:shd w:val="clear" w:color="auto" w:fill="FFFFFF"/>
        <w:ind w:left="5387" w:right="24"/>
        <w:rPr>
          <w:b w:val="0"/>
          <w:spacing w:val="-3"/>
          <w:sz w:val="22"/>
          <w:szCs w:val="22"/>
        </w:rPr>
      </w:pPr>
      <w:r>
        <w:rPr>
          <w:b w:val="0"/>
          <w:spacing w:val="-3"/>
          <w:sz w:val="22"/>
          <w:szCs w:val="22"/>
        </w:rPr>
        <w:t>генерального директора -</w:t>
      </w:r>
    </w:p>
    <w:p w14:paraId="07C2E829" w14:textId="77777777" w:rsidR="00D12372" w:rsidRDefault="00022218">
      <w:pPr>
        <w:shd w:val="clear" w:color="auto" w:fill="FFFFFF"/>
        <w:ind w:left="5387" w:right="24"/>
        <w:rPr>
          <w:b w:val="0"/>
          <w:spacing w:val="-3"/>
          <w:sz w:val="22"/>
          <w:szCs w:val="22"/>
        </w:rPr>
      </w:pPr>
      <w:r>
        <w:rPr>
          <w:b w:val="0"/>
          <w:spacing w:val="-3"/>
          <w:sz w:val="22"/>
          <w:szCs w:val="22"/>
        </w:rPr>
        <w:t xml:space="preserve">главный инженер АО «Тюменьэнерго» </w:t>
      </w:r>
    </w:p>
    <w:p w14:paraId="5B512B4F" w14:textId="77777777" w:rsidR="00D12372" w:rsidRDefault="00022218">
      <w:pPr>
        <w:shd w:val="clear" w:color="auto" w:fill="FFFFFF"/>
        <w:tabs>
          <w:tab w:val="left" w:leader="underscore" w:pos="3384"/>
        </w:tabs>
        <w:ind w:left="5387" w:right="24"/>
        <w:rPr>
          <w:b w:val="0"/>
          <w:spacing w:val="-3"/>
          <w:sz w:val="22"/>
          <w:szCs w:val="22"/>
        </w:rPr>
      </w:pPr>
      <w:r>
        <w:rPr>
          <w:b w:val="0"/>
          <w:sz w:val="22"/>
          <w:szCs w:val="22"/>
        </w:rPr>
        <w:t>_____________________А.А. Брагин</w:t>
      </w:r>
    </w:p>
    <w:p w14:paraId="53F75B4D" w14:textId="77777777" w:rsidR="00D12372" w:rsidRDefault="00022218">
      <w:pPr>
        <w:shd w:val="clear" w:color="auto" w:fill="FFFFFF"/>
        <w:tabs>
          <w:tab w:val="left" w:leader="underscore" w:pos="3384"/>
        </w:tabs>
        <w:ind w:left="5387" w:right="24"/>
        <w:rPr>
          <w:b w:val="0"/>
          <w:sz w:val="22"/>
          <w:szCs w:val="22"/>
        </w:rPr>
      </w:pPr>
      <w:r>
        <w:rPr>
          <w:b w:val="0"/>
          <w:spacing w:val="-3"/>
          <w:sz w:val="22"/>
          <w:szCs w:val="22"/>
        </w:rPr>
        <w:t>«_____»____________________ 2017 г.</w:t>
      </w:r>
    </w:p>
    <w:p w14:paraId="53767E80" w14:textId="77777777" w:rsidR="00D12372" w:rsidRDefault="00D12372">
      <w:pPr>
        <w:ind w:left="5387"/>
        <w:jc w:val="center"/>
        <w:rPr>
          <w:sz w:val="28"/>
          <w:szCs w:val="28"/>
        </w:rPr>
      </w:pPr>
    </w:p>
    <w:p w14:paraId="03DFD310" w14:textId="77777777" w:rsidR="00D12372" w:rsidRDefault="00D12372">
      <w:pPr>
        <w:jc w:val="center"/>
        <w:rPr>
          <w:sz w:val="28"/>
          <w:szCs w:val="28"/>
        </w:rPr>
      </w:pPr>
    </w:p>
    <w:p w14:paraId="3CB0C921" w14:textId="77777777" w:rsidR="00D12372" w:rsidRDefault="00D12372">
      <w:pPr>
        <w:jc w:val="center"/>
        <w:rPr>
          <w:sz w:val="28"/>
          <w:szCs w:val="28"/>
        </w:rPr>
      </w:pPr>
    </w:p>
    <w:p w14:paraId="6520D94B" w14:textId="77777777" w:rsidR="00D12372" w:rsidRDefault="000222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Техническое задание </w:t>
      </w:r>
    </w:p>
    <w:p w14:paraId="48D1CD0D" w14:textId="77777777" w:rsidR="00321F4D" w:rsidRDefault="00321F4D" w:rsidP="00321F4D">
      <w:pPr>
        <w:pStyle w:val="af2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выполнение работ по модернизации систем ТМ с реализацией функции электромагнитной блокировки (ЭМБ) на ПС филиалов АО «Тюменьэнерго» </w:t>
      </w:r>
    </w:p>
    <w:p w14:paraId="766256A6" w14:textId="33B443D7" w:rsidR="00D12372" w:rsidRDefault="00321F4D" w:rsidP="00321F4D">
      <w:pPr>
        <w:pStyle w:val="af2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(Тюменские РС (Тюменское ТПО), Урайские ЭС, Нефтеюганские ЭС и Энергокомплекс).</w:t>
      </w:r>
    </w:p>
    <w:p w14:paraId="75EB6D6F" w14:textId="77777777" w:rsidR="001961D1" w:rsidRDefault="001961D1" w:rsidP="001961D1">
      <w:pPr>
        <w:pStyle w:val="af2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5A32879" w14:textId="77777777" w:rsidR="00D12372" w:rsidRDefault="00022218">
      <w:pPr>
        <w:shd w:val="clear" w:color="auto" w:fill="FFFFFF"/>
        <w:tabs>
          <w:tab w:val="left" w:pos="696"/>
        </w:tabs>
        <w:rPr>
          <w:spacing w:val="-6"/>
          <w:sz w:val="22"/>
          <w:szCs w:val="24"/>
          <w:highlight w:val="red"/>
        </w:rPr>
      </w:pPr>
      <w:r>
        <w:rPr>
          <w:spacing w:val="-19"/>
          <w:sz w:val="24"/>
          <w:szCs w:val="24"/>
        </w:rPr>
        <w:t>1</w:t>
      </w:r>
      <w:r>
        <w:rPr>
          <w:spacing w:val="-19"/>
          <w:sz w:val="22"/>
          <w:szCs w:val="24"/>
        </w:rPr>
        <w:t>.</w:t>
      </w:r>
      <w:r>
        <w:rPr>
          <w:sz w:val="22"/>
          <w:szCs w:val="24"/>
        </w:rPr>
        <w:tab/>
      </w:r>
      <w:r>
        <w:rPr>
          <w:spacing w:val="-6"/>
          <w:sz w:val="22"/>
          <w:szCs w:val="24"/>
        </w:rPr>
        <w:t xml:space="preserve">Основание для выполнения работ </w:t>
      </w:r>
    </w:p>
    <w:p w14:paraId="4F5481B3" w14:textId="77777777" w:rsidR="00D12372" w:rsidRDefault="00022218">
      <w:pPr>
        <w:numPr>
          <w:ilvl w:val="0"/>
          <w:numId w:val="2"/>
        </w:numPr>
        <w:shd w:val="clear" w:color="auto" w:fill="FFFFFF"/>
        <w:tabs>
          <w:tab w:val="left" w:pos="686"/>
        </w:tabs>
        <w:ind w:left="19"/>
        <w:rPr>
          <w:b w:val="0"/>
          <w:bCs w:val="0"/>
          <w:spacing w:val="-5"/>
          <w:sz w:val="22"/>
          <w:szCs w:val="24"/>
        </w:rPr>
      </w:pPr>
      <w:r>
        <w:rPr>
          <w:b w:val="0"/>
          <w:bCs w:val="0"/>
          <w:spacing w:val="-5"/>
          <w:sz w:val="22"/>
          <w:szCs w:val="24"/>
        </w:rPr>
        <w:t xml:space="preserve">Инвестиционная программа АО «Тюменьэнерго» </w:t>
      </w:r>
    </w:p>
    <w:p w14:paraId="78007E66" w14:textId="77777777" w:rsidR="00D12372" w:rsidRDefault="00022218">
      <w:pPr>
        <w:shd w:val="clear" w:color="auto" w:fill="FFFFFF"/>
        <w:tabs>
          <w:tab w:val="left" w:pos="701"/>
        </w:tabs>
        <w:rPr>
          <w:bCs w:val="0"/>
          <w:spacing w:val="-11"/>
          <w:sz w:val="24"/>
          <w:szCs w:val="24"/>
        </w:rPr>
      </w:pPr>
      <w:r>
        <w:rPr>
          <w:bCs w:val="0"/>
          <w:spacing w:val="-11"/>
          <w:sz w:val="24"/>
          <w:szCs w:val="24"/>
        </w:rPr>
        <w:t>2. Характер (вид) работ:</w:t>
      </w:r>
    </w:p>
    <w:p w14:paraId="45FE0F1B" w14:textId="77777777" w:rsidR="00D12372" w:rsidRDefault="00022218">
      <w:pPr>
        <w:shd w:val="clear" w:color="auto" w:fill="FFFFFF"/>
        <w:tabs>
          <w:tab w:val="left" w:pos="701"/>
        </w:tabs>
        <w:rPr>
          <w:b w:val="0"/>
          <w:bCs w:val="0"/>
          <w:spacing w:val="-11"/>
          <w:sz w:val="24"/>
          <w:szCs w:val="24"/>
        </w:rPr>
      </w:pPr>
      <w:r>
        <w:rPr>
          <w:b w:val="0"/>
          <w:bCs w:val="0"/>
          <w:spacing w:val="-11"/>
          <w:sz w:val="24"/>
          <w:szCs w:val="24"/>
        </w:rPr>
        <w:t>2.1.  Реконструкция.</w:t>
      </w:r>
    </w:p>
    <w:p w14:paraId="3E9668FB" w14:textId="77777777" w:rsidR="00D12372" w:rsidRDefault="00022218">
      <w:pPr>
        <w:shd w:val="clear" w:color="auto" w:fill="FFFFFF"/>
        <w:tabs>
          <w:tab w:val="left" w:pos="701"/>
        </w:tabs>
        <w:rPr>
          <w:bCs w:val="0"/>
          <w:spacing w:val="-11"/>
          <w:sz w:val="24"/>
          <w:szCs w:val="24"/>
        </w:rPr>
      </w:pPr>
      <w:r>
        <w:rPr>
          <w:bCs w:val="0"/>
          <w:spacing w:val="-11"/>
          <w:sz w:val="24"/>
          <w:szCs w:val="24"/>
        </w:rPr>
        <w:t xml:space="preserve">3. Объекты модернизации 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2864"/>
        <w:gridCol w:w="3260"/>
        <w:gridCol w:w="2552"/>
      </w:tblGrid>
      <w:tr w:rsidR="00321F4D" w14:paraId="3AB050EB" w14:textId="77777777" w:rsidTr="001400F6">
        <w:trPr>
          <w:trHeight w:val="3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7BD5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sz w:val="22"/>
                <w:szCs w:val="22"/>
                <w:lang w:eastAsia="ru-RU"/>
              </w:rPr>
            </w:pPr>
            <w:r>
              <w:rPr>
                <w:bCs w:val="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B6288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Наименование энергообъектов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FF889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Филиал АО «Тюменьэнерго»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E86A5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Год проведения модернизации</w:t>
            </w:r>
          </w:p>
        </w:tc>
      </w:tr>
      <w:tr w:rsidR="00321F4D" w14:paraId="41788643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0D35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68D3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ПП 110кВ Караганда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0D77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B6B85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val="en-US" w:eastAsia="ru-RU"/>
              </w:rPr>
            </w:pPr>
            <w:r>
              <w:rPr>
                <w:b w:val="0"/>
                <w:bCs w:val="0"/>
                <w:lang w:val="en-US" w:eastAsia="ru-RU"/>
              </w:rPr>
              <w:t>2017</w:t>
            </w:r>
          </w:p>
        </w:tc>
      </w:tr>
      <w:tr w:rsidR="00321F4D" w14:paraId="32A3591C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93FA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BD48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Кыштырла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365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48B5D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val="en-US" w:eastAsia="ru-RU"/>
              </w:rPr>
            </w:pPr>
            <w:r>
              <w:rPr>
                <w:b w:val="0"/>
                <w:bCs w:val="0"/>
                <w:lang w:val="en-US" w:eastAsia="ru-RU"/>
              </w:rPr>
              <w:t>2017</w:t>
            </w:r>
          </w:p>
        </w:tc>
      </w:tr>
      <w:tr w:rsidR="00321F4D" w14:paraId="631E07EA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E576C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3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9251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Винзили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FD3A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05EB4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val="en-US" w:eastAsia="ru-RU"/>
              </w:rPr>
            </w:pPr>
            <w:r>
              <w:rPr>
                <w:b w:val="0"/>
                <w:bCs w:val="0"/>
                <w:lang w:val="en-US" w:eastAsia="ru-RU"/>
              </w:rPr>
              <w:t>2018</w:t>
            </w:r>
          </w:p>
        </w:tc>
      </w:tr>
      <w:tr w:rsidR="00321F4D" w14:paraId="72883E49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84C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DDC4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Пышминская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997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86930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2018</w:t>
            </w:r>
          </w:p>
        </w:tc>
      </w:tr>
      <w:tr w:rsidR="00321F4D" w14:paraId="21AE1313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A6D6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highlight w:val="yellow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5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F8FE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Плетенево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EEA1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F85D6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2018</w:t>
            </w:r>
          </w:p>
        </w:tc>
      </w:tr>
      <w:tr w:rsidR="00321F4D" w14:paraId="5520ACC7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797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6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F76F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 xml:space="preserve">ПС 110кВ Лазаревская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422D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Урайские ЭС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1A4EB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2018</w:t>
            </w:r>
          </w:p>
        </w:tc>
      </w:tr>
      <w:tr w:rsidR="00321F4D" w14:paraId="36F4F58D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2D3A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7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E93B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Рафайлово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4A2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8E20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val="en-US" w:eastAsia="ru-RU"/>
              </w:rPr>
            </w:pPr>
            <w:r>
              <w:rPr>
                <w:b w:val="0"/>
                <w:bCs w:val="0"/>
                <w:lang w:val="en-US" w:eastAsia="ru-RU"/>
              </w:rPr>
              <w:t>2019</w:t>
            </w:r>
          </w:p>
        </w:tc>
      </w:tr>
      <w:tr w:rsidR="00321F4D" w14:paraId="24F668A6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CE59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8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DA2E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Онохино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F340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Тюменское ТПО Тюменские РС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F9E3D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2019</w:t>
            </w:r>
          </w:p>
        </w:tc>
      </w:tr>
      <w:tr w:rsidR="00321F4D" w14:paraId="07AABD35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95DA8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B619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ЛПХ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9C2C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Нефтеюганские ЭС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C1B94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2019</w:t>
            </w:r>
          </w:p>
        </w:tc>
      </w:tr>
      <w:tr w:rsidR="00321F4D" w14:paraId="450DDD38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55D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10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42A4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КНС-20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4FE4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Нефтеюганские ЭС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8AE28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2019</w:t>
            </w:r>
          </w:p>
        </w:tc>
      </w:tr>
      <w:tr w:rsidR="00321F4D" w14:paraId="74126338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C7906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11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ABA6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Игрим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02A8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Энергокомплекс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3AA8A" w14:textId="77777777" w:rsidR="00321F4D" w:rsidRDefault="00321F4D" w:rsidP="001400F6">
            <w:pPr>
              <w:jc w:val="center"/>
            </w:pPr>
            <w:r>
              <w:rPr>
                <w:b w:val="0"/>
                <w:bCs w:val="0"/>
                <w:lang w:val="en-US" w:eastAsia="ru-RU"/>
              </w:rPr>
              <w:t>2019</w:t>
            </w:r>
          </w:p>
        </w:tc>
      </w:tr>
    </w:tbl>
    <w:p w14:paraId="213919B6" w14:textId="77777777" w:rsidR="00D12372" w:rsidRDefault="00D12372">
      <w:pPr>
        <w:shd w:val="clear" w:color="auto" w:fill="FFFFFF"/>
        <w:tabs>
          <w:tab w:val="left" w:pos="701"/>
        </w:tabs>
        <w:rPr>
          <w:bCs w:val="0"/>
          <w:spacing w:val="-11"/>
          <w:sz w:val="24"/>
          <w:szCs w:val="24"/>
        </w:rPr>
      </w:pPr>
    </w:p>
    <w:p w14:paraId="269C2599" w14:textId="77777777" w:rsidR="00D12372" w:rsidRDefault="00022218">
      <w:pPr>
        <w:shd w:val="clear" w:color="auto" w:fill="FFFFFF"/>
        <w:tabs>
          <w:tab w:val="left" w:pos="701"/>
        </w:tabs>
        <w:rPr>
          <w:bCs w:val="0"/>
          <w:spacing w:val="-11"/>
          <w:sz w:val="24"/>
          <w:szCs w:val="24"/>
        </w:rPr>
      </w:pPr>
      <w:r>
        <w:rPr>
          <w:bCs w:val="0"/>
          <w:spacing w:val="-11"/>
          <w:sz w:val="24"/>
          <w:szCs w:val="24"/>
          <w:lang w:val="en-US"/>
        </w:rPr>
        <w:t>4</w:t>
      </w:r>
      <w:r>
        <w:rPr>
          <w:bCs w:val="0"/>
          <w:spacing w:val="-11"/>
          <w:sz w:val="24"/>
          <w:szCs w:val="24"/>
        </w:rPr>
        <w:t>. Объём выполняемых работ</w:t>
      </w:r>
    </w:p>
    <w:p w14:paraId="4F5B2730" w14:textId="323DCB18" w:rsidR="00D12372" w:rsidRDefault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>Работы по реконструкции системы телемеханики с реализацией функции электромагнитной блокировки на ПС 110 кВ АО «</w:t>
      </w:r>
      <w:r w:rsidR="00B02F57">
        <w:rPr>
          <w:rFonts w:ascii="Times New Roman" w:hAnsi="Times New Roman"/>
          <w:bCs/>
          <w:spacing w:val="2"/>
        </w:rPr>
        <w:t>Тюменьэнерго</w:t>
      </w:r>
      <w:r>
        <w:rPr>
          <w:rFonts w:ascii="Times New Roman" w:hAnsi="Times New Roman"/>
          <w:bCs/>
          <w:spacing w:val="2"/>
        </w:rPr>
        <w:t xml:space="preserve">» необходимо выполнить в полном объеме и в соответствии с проектно-сметной документацией, строительными нормами и правилами. 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2864"/>
        <w:gridCol w:w="5812"/>
      </w:tblGrid>
      <w:tr w:rsidR="00321F4D" w14:paraId="738A1590" w14:textId="77777777" w:rsidTr="001400F6">
        <w:trPr>
          <w:trHeight w:val="3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0F38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sz w:val="22"/>
                <w:szCs w:val="22"/>
                <w:lang w:eastAsia="ru-RU"/>
              </w:rPr>
            </w:pPr>
            <w:r>
              <w:rPr>
                <w:bCs w:val="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BC484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Наименование энергообъектов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EC861" w14:textId="77777777" w:rsidR="00321F4D" w:rsidRDefault="00321F4D" w:rsidP="001400F6">
            <w:pPr>
              <w:widowControl/>
              <w:suppressAutoHyphens w:val="0"/>
              <w:jc w:val="center"/>
              <w:rPr>
                <w:bCs w:val="0"/>
                <w:lang w:eastAsia="ru-RU"/>
              </w:rPr>
            </w:pPr>
            <w:r>
              <w:rPr>
                <w:bCs w:val="0"/>
                <w:lang w:eastAsia="ru-RU"/>
              </w:rPr>
              <w:t>Шифр тома проектной документации</w:t>
            </w:r>
          </w:p>
        </w:tc>
      </w:tr>
      <w:tr w:rsidR="00321F4D" w14:paraId="477F019E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3DD6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EC6B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ПП 110кВ Караганда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4AF1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2016-ТЭ/ВРТ-25/3-138-000-ТМ2</w:t>
            </w:r>
          </w:p>
        </w:tc>
      </w:tr>
      <w:tr w:rsidR="00321F4D" w14:paraId="2D64569E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DDD91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559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Кыштырла</w:t>
            </w:r>
            <w:bookmarkStart w:id="0" w:name="_GoBack"/>
            <w:bookmarkEnd w:id="0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5F99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2016-ТЭ/ВРТ-25/3-138-000-ТМ3</w:t>
            </w:r>
          </w:p>
        </w:tc>
      </w:tr>
      <w:tr w:rsidR="00321F4D" w14:paraId="65DB9DE6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B98C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3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1B02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Винзили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AEBFA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2016-ТЭ/ВРТ-25/3-138-000-ТМ4</w:t>
            </w:r>
          </w:p>
        </w:tc>
      </w:tr>
      <w:tr w:rsidR="00321F4D" w14:paraId="2B145438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576B8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357A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Пышминская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871D9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2016-ТЭ/ВРТ-25/3-138-000-ТМ5</w:t>
            </w:r>
          </w:p>
        </w:tc>
      </w:tr>
      <w:tr w:rsidR="00321F4D" w14:paraId="542B17A0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FBFA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highlight w:val="yellow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5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9B25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Плетенево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A67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2016-ТЭ/ВРТ-25/3-138-000-ТМ1</w:t>
            </w:r>
          </w:p>
        </w:tc>
      </w:tr>
      <w:tr w:rsidR="00321F4D" w14:paraId="39F2A4F4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62587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6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5BB2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 xml:space="preserve">ПС 110кВ Лазаревская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A995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2016-ТЭ/ВРТ-25/3-138-000-ТМ30</w:t>
            </w:r>
          </w:p>
        </w:tc>
      </w:tr>
      <w:tr w:rsidR="00321F4D" w14:paraId="5A49FBB9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EE6BB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7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4F5A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Рафайлово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B1B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2016-ТЭ/ВРТ-25/3-138-000-ТМ6</w:t>
            </w:r>
          </w:p>
        </w:tc>
      </w:tr>
      <w:tr w:rsidR="00321F4D" w14:paraId="02E9E1E0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DE24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8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0789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Онохино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E14C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2016-ТЭ/ВРТ-25/3-138-000-ТМ7</w:t>
            </w:r>
          </w:p>
        </w:tc>
      </w:tr>
      <w:tr w:rsidR="00321F4D" w14:paraId="7A5C92D9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09DE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9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6C08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ЛПХ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4C57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2016-ТЭ/ВРТ-25/3-138-000-ТМ31</w:t>
            </w:r>
          </w:p>
        </w:tc>
      </w:tr>
      <w:tr w:rsidR="00321F4D" w14:paraId="375F873B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A8897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10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E924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КНС-20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D37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2016-ТЭ/ВРТ-25/3-138-000-ТМ32</w:t>
            </w:r>
          </w:p>
        </w:tc>
      </w:tr>
      <w:tr w:rsidR="00321F4D" w14:paraId="2B7258EA" w14:textId="77777777" w:rsidTr="001400F6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AA83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11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59C0" w14:textId="77777777" w:rsidR="00321F4D" w:rsidRDefault="00321F4D" w:rsidP="001400F6">
            <w:pPr>
              <w:widowControl/>
              <w:suppressAutoHyphens w:val="0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ПС 110кВ Игрим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05C0" w14:textId="77777777" w:rsidR="00321F4D" w:rsidRDefault="00321F4D" w:rsidP="001400F6">
            <w:pPr>
              <w:widowControl/>
              <w:suppressAutoHyphens w:val="0"/>
              <w:jc w:val="center"/>
              <w:rPr>
                <w:b w:val="0"/>
                <w:bCs w:val="0"/>
                <w:lang w:eastAsia="ru-RU"/>
              </w:rPr>
            </w:pPr>
            <w:r>
              <w:rPr>
                <w:b w:val="0"/>
                <w:bCs w:val="0"/>
                <w:lang w:eastAsia="ru-RU"/>
              </w:rPr>
              <w:t>2016-ТЭ/ВРТ-25/3-138-000-ТМ29</w:t>
            </w:r>
          </w:p>
        </w:tc>
      </w:tr>
    </w:tbl>
    <w:p w14:paraId="07A52739" w14:textId="77777777" w:rsidR="001961D1" w:rsidRPr="001961D1" w:rsidRDefault="001961D1" w:rsidP="001961D1">
      <w:pPr>
        <w:tabs>
          <w:tab w:val="left" w:pos="993"/>
        </w:tabs>
        <w:jc w:val="both"/>
        <w:rPr>
          <w:spacing w:val="2"/>
        </w:rPr>
      </w:pPr>
    </w:p>
    <w:p w14:paraId="052F89DB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Шкафы телемеханики поставляются на объекты предварительно налаженные, с готовой конфигурацией.</w:t>
      </w:r>
    </w:p>
    <w:p w14:paraId="0BC85726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Система ТМ должна обеспечивать выполнение следующих функций:</w:t>
      </w:r>
    </w:p>
    <w:p w14:paraId="1FC41650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сбор данных ТИ, ТС и обработку данных телеметрии КП;</w:t>
      </w:r>
    </w:p>
    <w:p w14:paraId="4098B5CE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передача данных телеметрии на верхний уровень АСДУ по нескольким каналам по протоколам TCP/IP-Modbus, МЭК-870-5-101/104 с гарантированным временем доставки данных 1-2;</w:t>
      </w:r>
    </w:p>
    <w:p w14:paraId="3D838943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lastRenderedPageBreak/>
        <w:t>сбор измерительной информации от многофункциональных цифровых измерительных преобразователей;</w:t>
      </w:r>
    </w:p>
    <w:p w14:paraId="7A35989E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самодиагностика работы модулей системы;</w:t>
      </w:r>
    </w:p>
    <w:p w14:paraId="752CD7F6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привязка параметров ТС, ТИ к меткам времени, архивирование, визуализацию параметров телеметрии системы на объекте;</w:t>
      </w:r>
    </w:p>
    <w:p w14:paraId="5465EE3A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спорадическая передача параметров ТС, ТИ, возможность задания апертуры для каждого телеизмерения;</w:t>
      </w:r>
    </w:p>
    <w:p w14:paraId="65711CA1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дистанционное телеуправление выключателями нагрузки подстанции;</w:t>
      </w:r>
    </w:p>
    <w:p w14:paraId="3F644C77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дистанционное телерегулирование положением РПН трансформаторов;</w:t>
      </w:r>
    </w:p>
    <w:p w14:paraId="05D6545D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логический анализ текущего состояния выключателей, разъединителей и заземляющих ножей и выдача команд управления электромагнитными замками по заданным алгоритмам в схеме управления электромагнитной блокировкой разъединителей.</w:t>
      </w:r>
    </w:p>
    <w:p w14:paraId="0A6F332E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Подсистема управления блокировкой разъединителей обеспечивает сбор информации о состоянии положения выключателей, разъединителей и заземляющих ножей, их логическую обработку на предмет соблюдения необходимых условий для выдачи команды телеуправления на включение цепи питания 220 В электромагнитных замков (ЭМЗ) приводов КА и подачу питания на соответствующий электромагнитный замок привода через выходные реле управления.</w:t>
      </w:r>
    </w:p>
    <w:p w14:paraId="670B1272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Все оборудование СТМ, размещаемое на ОРУ-110(35) и КРУН размещается в шкафах со степенью защиты IP65 по ГОСТ 14254-98 (МЭК 529-89) с исполнением для использования в зонах крайнего севера. Для шкафов, размещаемых на ОРУ предусматривается подогрев.</w:t>
      </w:r>
    </w:p>
    <w:p w14:paraId="2ECF9C19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Выполнить монтажные и пусконаладочные работы в соответствии с требованиями проектной и рабочей документации на каждой подстанции:</w:t>
      </w:r>
    </w:p>
    <w:p w14:paraId="6DA42825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Монтажные работы:</w:t>
      </w:r>
    </w:p>
    <w:p w14:paraId="4DA51511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монтаж на территории ОРУ 110, 35 кВ дополнительных железобетонных и металлических лотков;</w:t>
      </w:r>
    </w:p>
    <w:p w14:paraId="5126104E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установка шкафов ШПК на существующие или вновь устанавливаемые конструкции;</w:t>
      </w:r>
    </w:p>
    <w:p w14:paraId="3C4C6617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демонтаж существующего оборудования ТМ;</w:t>
      </w:r>
    </w:p>
    <w:p w14:paraId="59F54D75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установка в ОПУ (КРУН) шкафов телемеханики;</w:t>
      </w:r>
    </w:p>
    <w:p w14:paraId="32A957D3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монтаж МИП в ОПУ, ЗРУ-6 на панелях, в шкафах;</w:t>
      </w:r>
    </w:p>
    <w:p w14:paraId="259AF6B9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прокладка вторичных цепей;</w:t>
      </w:r>
    </w:p>
    <w:p w14:paraId="44F7CC1B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монтаж дополнительных цепей для сбора информации от цепей ТС;</w:t>
      </w:r>
    </w:p>
    <w:p w14:paraId="715E0AC9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монтаж цепей для ЭМБ и ТУ;</w:t>
      </w:r>
    </w:p>
    <w:p w14:paraId="3FD0BF33" w14:textId="77777777" w:rsidR="00022218" w:rsidRPr="00022218" w:rsidRDefault="00022218" w:rsidP="00022218">
      <w:pPr>
        <w:pStyle w:val="af2"/>
        <w:numPr>
          <w:ilvl w:val="2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электрическая проверка и регулировка оборудования.</w:t>
      </w:r>
    </w:p>
    <w:p w14:paraId="4643DCDF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 xml:space="preserve">  </w:t>
      </w:r>
      <w:r w:rsidRPr="00022218">
        <w:rPr>
          <w:rFonts w:ascii="Times New Roman" w:hAnsi="Times New Roman"/>
          <w:bCs/>
          <w:spacing w:val="2"/>
        </w:rPr>
        <w:t>Пусконаладочные работы:</w:t>
      </w:r>
    </w:p>
    <w:p w14:paraId="347D2C95" w14:textId="77777777" w:rsidR="00022218" w:rsidRPr="00022218" w:rsidRDefault="00022218" w:rsidP="00022218">
      <w:pPr>
        <w:pStyle w:val="af2"/>
        <w:numPr>
          <w:ilvl w:val="2"/>
          <w:numId w:val="14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 xml:space="preserve"> </w:t>
      </w:r>
      <w:r w:rsidRPr="00022218">
        <w:rPr>
          <w:rFonts w:ascii="Times New Roman" w:hAnsi="Times New Roman"/>
          <w:bCs/>
          <w:spacing w:val="2"/>
        </w:rPr>
        <w:t>ПНР системы;</w:t>
      </w:r>
    </w:p>
    <w:p w14:paraId="4124143D" w14:textId="77777777" w:rsidR="00022218" w:rsidRPr="00022218" w:rsidRDefault="00022218" w:rsidP="00022218">
      <w:pPr>
        <w:pStyle w:val="af2"/>
        <w:numPr>
          <w:ilvl w:val="2"/>
          <w:numId w:val="14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 xml:space="preserve"> </w:t>
      </w:r>
      <w:r w:rsidRPr="00022218">
        <w:rPr>
          <w:rFonts w:ascii="Times New Roman" w:hAnsi="Times New Roman"/>
          <w:bCs/>
          <w:spacing w:val="2"/>
        </w:rPr>
        <w:t>настройка каналов связи;</w:t>
      </w:r>
    </w:p>
    <w:p w14:paraId="20294646" w14:textId="77777777" w:rsidR="00022218" w:rsidRPr="00022218" w:rsidRDefault="00022218" w:rsidP="00022218">
      <w:pPr>
        <w:pStyle w:val="af2"/>
        <w:numPr>
          <w:ilvl w:val="2"/>
          <w:numId w:val="14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 xml:space="preserve"> </w:t>
      </w:r>
      <w:r w:rsidRPr="00022218">
        <w:rPr>
          <w:rFonts w:ascii="Times New Roman" w:hAnsi="Times New Roman"/>
          <w:bCs/>
          <w:spacing w:val="2"/>
        </w:rPr>
        <w:t>настройка системы контроля и управления, конфигурация и настройка сетевых компонентов;</w:t>
      </w:r>
    </w:p>
    <w:p w14:paraId="6A79A44C" w14:textId="77777777" w:rsidR="00022218" w:rsidRPr="00022218" w:rsidRDefault="00022218" w:rsidP="00022218">
      <w:pPr>
        <w:pStyle w:val="af2"/>
        <w:numPr>
          <w:ilvl w:val="2"/>
          <w:numId w:val="14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 xml:space="preserve"> </w:t>
      </w:r>
      <w:r w:rsidRPr="00022218">
        <w:rPr>
          <w:rFonts w:ascii="Times New Roman" w:hAnsi="Times New Roman"/>
          <w:bCs/>
          <w:spacing w:val="2"/>
        </w:rPr>
        <w:t>настройка системы контроля и управления, программирование контроллера ТМ для выполнения алгоритма работы ЭМБ и отладка его работы;</w:t>
      </w:r>
    </w:p>
    <w:p w14:paraId="57A0F2A4" w14:textId="77777777" w:rsidR="00022218" w:rsidRPr="00022218" w:rsidRDefault="00022218" w:rsidP="00022218">
      <w:pPr>
        <w:pStyle w:val="af2"/>
        <w:numPr>
          <w:ilvl w:val="2"/>
          <w:numId w:val="14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 xml:space="preserve"> </w:t>
      </w:r>
      <w:r w:rsidRPr="00022218">
        <w:rPr>
          <w:rFonts w:ascii="Times New Roman" w:hAnsi="Times New Roman"/>
          <w:bCs/>
          <w:spacing w:val="2"/>
        </w:rPr>
        <w:t>наладка (настройка) верхнего уровня системы (описание новых параметров в сервере ОИК, привязка параметров на мнемосхеме) на диспетчерских пунктах.\</w:t>
      </w:r>
    </w:p>
    <w:p w14:paraId="54896128" w14:textId="77777777" w:rsidR="00022218" w:rsidRPr="00022218" w:rsidRDefault="00022218" w:rsidP="00022218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 w:rsidRPr="00022218">
        <w:rPr>
          <w:rFonts w:ascii="Times New Roman" w:hAnsi="Times New Roman"/>
          <w:bCs/>
          <w:spacing w:val="2"/>
        </w:rPr>
        <w:t>Выполнить поставку и передачу ЗИП в филиал</w:t>
      </w:r>
      <w:r>
        <w:rPr>
          <w:rFonts w:ascii="Times New Roman" w:hAnsi="Times New Roman"/>
          <w:bCs/>
          <w:spacing w:val="2"/>
        </w:rPr>
        <w:t>ы</w:t>
      </w:r>
      <w:r w:rsidRPr="00022218">
        <w:rPr>
          <w:rFonts w:ascii="Times New Roman" w:hAnsi="Times New Roman"/>
          <w:bCs/>
          <w:spacing w:val="2"/>
        </w:rPr>
        <w:t xml:space="preserve"> АО «Тюменьэнерго» в соответствии с требованиями рабочей документации.</w:t>
      </w:r>
    </w:p>
    <w:p w14:paraId="356124BB" w14:textId="77777777" w:rsidR="00D12372" w:rsidRDefault="00D12372">
      <w:pPr>
        <w:pStyle w:val="af2"/>
        <w:tabs>
          <w:tab w:val="left" w:pos="851"/>
          <w:tab w:val="left" w:pos="993"/>
        </w:tabs>
        <w:spacing w:after="0" w:line="240" w:lineRule="auto"/>
        <w:ind w:left="0" w:firstLine="709"/>
        <w:jc w:val="both"/>
      </w:pPr>
    </w:p>
    <w:p w14:paraId="6ACAF4AB" w14:textId="77777777" w:rsidR="00D12372" w:rsidRDefault="00D12372">
      <w:pPr>
        <w:pStyle w:val="af2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pacing w:val="2"/>
        </w:rPr>
      </w:pPr>
    </w:p>
    <w:p w14:paraId="0719430E" w14:textId="77777777" w:rsidR="00D12372" w:rsidRDefault="00022218">
      <w:pPr>
        <w:shd w:val="clear" w:color="auto" w:fill="FFFFFF"/>
        <w:tabs>
          <w:tab w:val="left" w:pos="701"/>
        </w:tabs>
      </w:pPr>
      <w:r>
        <w:rPr>
          <w:bCs w:val="0"/>
          <w:spacing w:val="-11"/>
          <w:sz w:val="24"/>
          <w:szCs w:val="24"/>
        </w:rPr>
        <w:t>5.  Поставка оборудования и материалов</w:t>
      </w:r>
    </w:p>
    <w:p w14:paraId="6F2E182C" w14:textId="77777777" w:rsidR="00D12372" w:rsidRDefault="00022218">
      <w:pPr>
        <w:numPr>
          <w:ilvl w:val="1"/>
          <w:numId w:val="6"/>
        </w:numPr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В процессе выполнения работ на объекте Подрядчик самостоятельно занимается поставкой оборудования и материалов (включая аварийный запас), необходимых для строительства объекта, заключением договоров с поставщиками материалов и оборудования, согласно заказным спецификациям, входящим в комплект проектной (рабочей) документации.</w:t>
      </w:r>
    </w:p>
    <w:p w14:paraId="566230A4" w14:textId="77777777" w:rsidR="00D12372" w:rsidRDefault="00022218">
      <w:pPr>
        <w:numPr>
          <w:ilvl w:val="1"/>
          <w:numId w:val="6"/>
        </w:numPr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Используемые материалы, конструкции, изделия и оборудование, устанавливаемое на объекте, должны быть новыми, раннее не используемыми и не восстановленными, соответствовать проекту, иметь сертификаты, технические паспорта и другие документы, удостоверяющие их качество.</w:t>
      </w:r>
    </w:p>
    <w:p w14:paraId="0FF0E9B5" w14:textId="77777777" w:rsidR="00D12372" w:rsidRDefault="00022218">
      <w:pPr>
        <w:shd w:val="clear" w:color="auto" w:fill="FFFFFF"/>
        <w:tabs>
          <w:tab w:val="left" w:pos="701"/>
        </w:tabs>
        <w:rPr>
          <w:bCs w:val="0"/>
          <w:spacing w:val="-11"/>
          <w:sz w:val="24"/>
          <w:szCs w:val="24"/>
        </w:rPr>
      </w:pPr>
      <w:r>
        <w:rPr>
          <w:bCs w:val="0"/>
          <w:spacing w:val="-11"/>
          <w:sz w:val="24"/>
          <w:szCs w:val="24"/>
        </w:rPr>
        <w:t>6. Требования к выполнению работ</w:t>
      </w:r>
    </w:p>
    <w:p w14:paraId="28428E56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</w:tabs>
        <w:suppressAutoHyphens w:val="0"/>
        <w:ind w:left="0" w:firstLine="0"/>
        <w:jc w:val="both"/>
      </w:pPr>
      <w:r>
        <w:rPr>
          <w:b w:val="0"/>
          <w:sz w:val="22"/>
          <w:szCs w:val="22"/>
        </w:rPr>
        <w:t>Реконструкция выполняется в условиях действующих подстанций 110/35/6 кВ без полного погашения подстанции в стеснённых условиях вблизи оборудования, находящегося под рабочим напряжением.</w:t>
      </w:r>
    </w:p>
    <w:p w14:paraId="1C5B3AF5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</w:rPr>
        <w:t xml:space="preserve">Разработать и согласовать с заказчиком детальный сетевой график производства работ. </w:t>
      </w:r>
    </w:p>
    <w:p w14:paraId="72F187F1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Работы необходимо выполнять в объеме и в соответствии с утвержденной заказчиком проектно-сметной документацией.</w:t>
      </w:r>
    </w:p>
    <w:p w14:paraId="36F91892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производстве работ руководствоваться «Регламентом допуска подрядных и субподрядных организаций для работы на объектах АО «Тюменьэнерго».</w:t>
      </w:r>
    </w:p>
    <w:p w14:paraId="0D3061CC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 началом производства работ на объекте Подрядчик обязан разработать и согласовать с Заказчиком проекты производства работ. </w:t>
      </w:r>
    </w:p>
    <w:p w14:paraId="142490E6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</w:pPr>
      <w:r>
        <w:rPr>
          <w:rFonts w:ascii="Times New Roman" w:hAnsi="Times New Roman"/>
        </w:rPr>
        <w:t xml:space="preserve">Пред началом производства работ на объекте Подрядчик обязан обеспечить получения положительного Заключения по проверке готовности строительной подрядной организации к выполнению работ по строительству, реконструкции, техперевооружению и капитальному ремонту на </w:t>
      </w:r>
      <w:r w:rsidR="00367EDA">
        <w:rPr>
          <w:rFonts w:ascii="Times New Roman" w:hAnsi="Times New Roman"/>
        </w:rPr>
        <w:t>объектах АО</w:t>
      </w:r>
      <w:r>
        <w:rPr>
          <w:rFonts w:ascii="Times New Roman" w:hAnsi="Times New Roman"/>
        </w:rPr>
        <w:t xml:space="preserve"> «Тюменьэнерго».</w:t>
      </w:r>
    </w:p>
    <w:p w14:paraId="59D78D76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</w:rPr>
        <w:t>При выполнении объема работ на объекте персонал подрядчика обязан соблюдать правила охраны труда, пожарной безопасности, законодательство РФ по охране окружающей среды, другие специальные правила в объеме требований, применяемых на предприятии заказчика.</w:t>
      </w:r>
    </w:p>
    <w:p w14:paraId="3D5AD3C4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>Пусконаладочные испытания должны производиться в соответствии с программой испытаний и методикой испытаний, согласованной с Заказчиком.</w:t>
      </w:r>
    </w:p>
    <w:p w14:paraId="607ACF42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>Необходимо обеспечить соблюдение персоналом Подрядчика Правил внутреннего трудового распорядка, ПТЭ, ПУЭ, ОТ и противопожарной безопасности при производстве работ.</w:t>
      </w:r>
    </w:p>
    <w:p w14:paraId="626DF4A3" w14:textId="77777777" w:rsidR="00D12372" w:rsidRDefault="00022218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pacing w:val="2"/>
        </w:rPr>
      </w:pPr>
      <w:r>
        <w:rPr>
          <w:rFonts w:ascii="Times New Roman" w:hAnsi="Times New Roman"/>
          <w:bCs/>
          <w:spacing w:val="2"/>
        </w:rPr>
        <w:t>Представитель Подрядчика должен немедленно извещать Представителя Заказчика о независящих от Подрядчика обстоятельствах, угрожающих надежности и качеству результатов выполнения работ, либо создающих невозможность завершения их в срок, а также в случае обнаружения непригодности или недоброкачественности предоставленных Заказчиком материалов, технической документации, а также приостановить работы, до получения от него письменных указаний;</w:t>
      </w:r>
    </w:p>
    <w:p w14:paraId="2F4EED01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В связи с внедрением в АО «Тюменьэнерго» интегрированной системы менеджмента ознакомить свой персонал, а также свои подрядные организации с Памяткой для ознакомления с системой экологических аспектов, рисков в области охраны здоровья и обеспечения безопасности труда в АО «Тюменьэнерго» персонала АО «Тюменьэнерго», подрядных и других организаций, при выполнении работ на оборудовании Компании, в том числе с привлечением механизмов.</w:t>
      </w:r>
    </w:p>
    <w:p w14:paraId="01E70666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Принимать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пределами). Следить за тем, чтобы выбросы в воздух, поверхностные стоки и отводимые со строительной площадки сточные воды не превышали показателей, установленных законодательством Российской Федерации.</w:t>
      </w:r>
    </w:p>
    <w:p w14:paraId="16ED3207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Работы должны проводиться в соответствии с положениями и требованиями действующей нормативно-технической, технологической и организационно-технической, технологической и организационно-распорядительной документации, противоаварийных и эксплуатационных циркуляров.</w:t>
      </w:r>
    </w:p>
    <w:p w14:paraId="24A4E826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При проведении работ должны быть соблюдены требования законодательства по охране и рациональному использованию земельного участка. На основании данных по количеству персонала, периода работы определить места временного хранения отходов строительства и представить информацию о предполагаемых местах размещения отходов организациям, имеющим соответствующие лицензии. </w:t>
      </w:r>
    </w:p>
    <w:p w14:paraId="656ACDB9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 выполнении объема работ на объекте персонал Подрядчика обязан соблюдать правила охраны труда, пожарной безопасности, законодательство РФ по охране окружающей среды, другие специальные правила в объеме требований, применяемых на предприятии Заказчика, а также подчиняться правилам трудового распорядка Заказчика.</w:t>
      </w:r>
    </w:p>
    <w:p w14:paraId="4D631CD4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Подрядчик должен обеспечить свой персонал необходимыми механизмами, материалами, автотранспортом, инструментом, приспособлениями и спецодеждой. При производстве работ Подрядчик должен обеспечить свой персонал необходимыми средствами индивидуальной защиты в объеме требований, применяемых на предприятии Заказчика.</w:t>
      </w:r>
    </w:p>
    <w:p w14:paraId="6E55DD0F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На все вновь устанавливаемое оборудование Подрядчик обязан предоставить Заказчику технические паспорта и заверенные копии сертификатов соответствия. На применяемые материалы- заверенные копии сертификатов соответствия.</w:t>
      </w:r>
    </w:p>
    <w:p w14:paraId="6F0E85CD" w14:textId="77777777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Производство пуско-наладочных работ на устройствах телемеханики производить с использованием современных испытательных устройств. Приборы должны быть фабричного изготовления и иметь государственные свидетельства о поверке и калибровке действующие на момент использования Применение не поверенных приборов, а также проверочных устройств кустарного изготовления не допускается.</w:t>
      </w:r>
    </w:p>
    <w:p w14:paraId="1B300555" w14:textId="1F63C4BF" w:rsidR="00D12372" w:rsidRDefault="00022218">
      <w:pPr>
        <w:widowControl/>
        <w:numPr>
          <w:ilvl w:val="0"/>
          <w:numId w:val="5"/>
        </w:numPr>
        <w:tabs>
          <w:tab w:val="left" w:pos="540"/>
          <w:tab w:val="left" w:pos="851"/>
          <w:tab w:val="left" w:pos="993"/>
        </w:tabs>
        <w:suppressAutoHyphens w:val="0"/>
        <w:ind w:left="0" w:firstLine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 внесении изменений в проектную документацию</w:t>
      </w:r>
      <w:r w:rsidR="007261C2">
        <w:rPr>
          <w:b w:val="0"/>
          <w:sz w:val="22"/>
          <w:szCs w:val="22"/>
        </w:rPr>
        <w:t xml:space="preserve"> (применение оборудования аналога)</w:t>
      </w:r>
      <w:r>
        <w:rPr>
          <w:b w:val="0"/>
          <w:sz w:val="22"/>
          <w:szCs w:val="22"/>
        </w:rPr>
        <w:t xml:space="preserve"> системы ТМ с реализацией функции электромагнитной блокировки должны соответствовать:</w:t>
      </w:r>
    </w:p>
    <w:p w14:paraId="1C494B19" w14:textId="77777777" w:rsidR="00D12372" w:rsidRDefault="00022218">
      <w:pPr>
        <w:widowControl/>
        <w:tabs>
          <w:tab w:val="left" w:pos="540"/>
          <w:tab w:val="left" w:pos="851"/>
          <w:tab w:val="left" w:pos="993"/>
        </w:tabs>
        <w:suppressAutoHyphens w:val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требованиям к обеспечению информационной безопасности, приведенные в разделе 7;</w:t>
      </w:r>
    </w:p>
    <w:p w14:paraId="42D2C0EB" w14:textId="77777777" w:rsidR="00D12372" w:rsidRDefault="00022218">
      <w:pPr>
        <w:widowControl/>
        <w:tabs>
          <w:tab w:val="left" w:pos="540"/>
          <w:tab w:val="left" w:pos="851"/>
          <w:tab w:val="left" w:pos="993"/>
        </w:tabs>
        <w:suppressAutoHyphens w:val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Стандарту организации ПАО «Россети» Программно-технические комплексы подстанций 35-110 (150) кв. Общие технические требования (СТО 34.01-6.1-002-2016);</w:t>
      </w:r>
    </w:p>
    <w:p w14:paraId="2A3FD21C" w14:textId="77777777" w:rsidR="00D12372" w:rsidRDefault="00022218">
      <w:pPr>
        <w:widowControl/>
        <w:tabs>
          <w:tab w:val="left" w:pos="540"/>
          <w:tab w:val="left" w:pos="851"/>
          <w:tab w:val="left" w:pos="993"/>
        </w:tabs>
        <w:suppressAutoHyphens w:val="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Положение ПАО «Россети» «О единой технической политике в электросетевом комплексе» (утв. Советом Директоров ПАО «Россети» (протокол от 22.02.2017 № 252).</w:t>
      </w:r>
    </w:p>
    <w:p w14:paraId="6D6C54BC" w14:textId="77777777" w:rsidR="00D12372" w:rsidRDefault="00D12372">
      <w:pPr>
        <w:widowControl/>
        <w:tabs>
          <w:tab w:val="left" w:pos="540"/>
          <w:tab w:val="left" w:pos="851"/>
          <w:tab w:val="left" w:pos="993"/>
        </w:tabs>
        <w:suppressAutoHyphens w:val="0"/>
        <w:jc w:val="both"/>
        <w:rPr>
          <w:b w:val="0"/>
          <w:sz w:val="22"/>
          <w:szCs w:val="22"/>
        </w:rPr>
      </w:pPr>
    </w:p>
    <w:p w14:paraId="6FFBA4F5" w14:textId="77777777" w:rsidR="00D12372" w:rsidRDefault="00D12372"/>
    <w:p w14:paraId="23F4442A" w14:textId="77777777" w:rsidR="00D12372" w:rsidRDefault="00022218">
      <w:r>
        <w:rPr>
          <w:sz w:val="22"/>
          <w:szCs w:val="22"/>
        </w:rPr>
        <w:t>7. Требования к обеспечению информационной безопасности при выполнении работ по модернизации систем ТМ.</w:t>
      </w:r>
    </w:p>
    <w:p w14:paraId="6CE7CE28" w14:textId="77777777" w:rsidR="00D12372" w:rsidRDefault="00D12372">
      <w:pPr>
        <w:rPr>
          <w:sz w:val="22"/>
          <w:szCs w:val="22"/>
        </w:rPr>
      </w:pPr>
    </w:p>
    <w:p w14:paraId="13DCB8A3" w14:textId="77777777" w:rsidR="00D12372" w:rsidRDefault="00022218">
      <w:pPr>
        <w:pStyle w:val="af2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Базовые требования</w:t>
      </w:r>
    </w:p>
    <w:p w14:paraId="15A41278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Требования настоящего раздела должны применяться на всех объектах защиты:</w:t>
      </w:r>
    </w:p>
    <w:p w14:paraId="5265437C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 случае наличия парольной защиты доступа, все пароли по умолчанию должны быть изменены;</w:t>
      </w:r>
    </w:p>
    <w:p w14:paraId="11DAC73D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парольная политика к объектам защиты должна соответствовать установленным требованиям в Обществе;</w:t>
      </w:r>
    </w:p>
    <w:p w14:paraId="111A24D0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доступ персонала вне зависимости от объекта защиты должен быть персонализирован, необходимо исключить (при наличии технической возможности) возможность доступа к объектам защиты под одной учетной записью (одним паролем) для различных работников с разграничением прав доступа;</w:t>
      </w:r>
    </w:p>
    <w:p w14:paraId="3302F523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встроенные учетные записи на всех компонентах объектов защиты должны быть отключены (при наличии возможности);</w:t>
      </w:r>
    </w:p>
    <w:p w14:paraId="138314B0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высший приоритет применения на объектах защиты должны иметь механизмы доступа с применением многофакторной аутентификации;</w:t>
      </w:r>
    </w:p>
    <w:p w14:paraId="26BD56AA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незадействованный функционал и компоненты объектов защиты должны быть отключены (при наличии возможности);</w:t>
      </w:r>
    </w:p>
    <w:p w14:paraId="48B29079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на всех объектах защиты и их компонентах, должны быть включены и настроены функции регистрации событий безопасности с передачей на специально выделенный сервер сбора информации подсистемы мониторинга информационной безопасности (при наличии технической возможности);</w:t>
      </w:r>
    </w:p>
    <w:p w14:paraId="055D4E33" w14:textId="77777777" w:rsidR="00D12372" w:rsidRDefault="00022218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- по всем компонентам объектов защиты должны быть установлены процедуры обновлений безопасности.</w:t>
      </w:r>
    </w:p>
    <w:p w14:paraId="678D9EA4" w14:textId="77777777" w:rsidR="00D12372" w:rsidRDefault="00022218">
      <w:pPr>
        <w:pStyle w:val="af2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ИТС</w:t>
      </w:r>
    </w:p>
    <w:p w14:paraId="3F0BE88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Должен быть организован периметр технологического сегмента ИТС Объекта. Организация сетевого периметра ИТС Объекта должна быть обеспечена посредством межсетевых экранов при наличии технической возможности.</w:t>
      </w:r>
    </w:p>
    <w:p w14:paraId="46E51D13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межсетевых экранов, временно должны использоваться встроенные функции разграничения сетевого доступа на доступном телекоммуникационном оборудовании.</w:t>
      </w:r>
    </w:p>
    <w:p w14:paraId="5E99300D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Физическое соединение технологического сегмента ИТС Объекта с остальной ИТС Объекта, при ее наличии, должно обеспечиваться только через устройство, реализующее функции межсетевого экранирования.</w:t>
      </w:r>
    </w:p>
    <w:p w14:paraId="35D54DDF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Все АС, включая АСТУ, должны быть выделены в отдельный технологический сегмент на каждом уровне иерархии структуры компании, каждая система в свой сегмент (при наличии технической возможности без нанесения ущерба технологическому процессу).</w:t>
      </w:r>
    </w:p>
    <w:p w14:paraId="5319341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Выделение сегментов должно обеспечиваться посредством одновременного применения следующих технологий и методов в порядке эффективности защиты (при наличии такой возможности):</w:t>
      </w:r>
    </w:p>
    <w:p w14:paraId="08F0F6AF" w14:textId="77777777" w:rsidR="00D12372" w:rsidRDefault="00022218">
      <w:pPr>
        <w:pStyle w:val="af2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физическое выделение посредством организации сегментов за счет выделенных коммутирующих устройств, подключаемых только к межсетевым экранам (наиболее защищенный вариант);</w:t>
      </w:r>
    </w:p>
    <w:p w14:paraId="1F344941" w14:textId="77777777" w:rsidR="00D12372" w:rsidRDefault="00022218">
      <w:pPr>
        <w:pStyle w:val="af2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с применением средств криптографической защиты доступа к сети и защиты трафика (VPN) при условии, что указанные средства в сегменте образуются посредством установки специализированного ПО на каждом из конечных узлов (серверов, АРМ);</w:t>
      </w:r>
    </w:p>
    <w:p w14:paraId="33EB0680" w14:textId="77777777" w:rsidR="00D12372" w:rsidRDefault="00022218">
      <w:pPr>
        <w:pStyle w:val="af2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VLAN;</w:t>
      </w:r>
    </w:p>
    <w:p w14:paraId="5A6525B4" w14:textId="77777777" w:rsidR="00D12372" w:rsidRDefault="00022218">
      <w:pPr>
        <w:pStyle w:val="af2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VRF.</w:t>
      </w:r>
    </w:p>
    <w:p w14:paraId="756455F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каждом из Объектов в ИТС должны быть выделены сегменты управления:</w:t>
      </w:r>
    </w:p>
    <w:p w14:paraId="25439E75" w14:textId="77777777" w:rsidR="00D12372" w:rsidRDefault="00022218">
      <w:pPr>
        <w:pStyle w:val="af2"/>
        <w:spacing w:after="0" w:line="240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- сегмент управления ИТС (имеет доступ персонал, осуществляющий функции управления ИТС);</w:t>
      </w:r>
    </w:p>
    <w:p w14:paraId="2E22B65D" w14:textId="77777777" w:rsidR="00D12372" w:rsidRDefault="00022218">
      <w:pPr>
        <w:pStyle w:val="af2"/>
        <w:spacing w:after="0" w:line="240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- сегмент управления АСТУ (имеет доступ персонал, осуществляющий функции управления АСТУ);</w:t>
      </w:r>
    </w:p>
    <w:p w14:paraId="04BAC8AF" w14:textId="77777777" w:rsidR="00D12372" w:rsidRDefault="00022218">
      <w:pPr>
        <w:pStyle w:val="af2"/>
        <w:spacing w:after="0" w:line="240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- сегмент управления подсистемами ИБ (при их наличии);</w:t>
      </w:r>
    </w:p>
    <w:p w14:paraId="0CB18C36" w14:textId="77777777" w:rsidR="00D12372" w:rsidRDefault="00022218">
      <w:pPr>
        <w:pStyle w:val="af2"/>
        <w:spacing w:after="0" w:line="240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- сегмент оперативного управления Объектом (имеет доступ персонал, осуществляющий оперативное управление оборудованием Объекта).</w:t>
      </w:r>
    </w:p>
    <w:p w14:paraId="125CB4A8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случае совмещения функций администраторами технических средств допускается объединение сегментов управления.</w:t>
      </w:r>
    </w:p>
    <w:p w14:paraId="098B5DF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Не допускается совмещение функций управления ИБ, с другими уровнями управления.</w:t>
      </w:r>
    </w:p>
    <w:p w14:paraId="42A154EE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Доступ к технологическому сегменту ИТС и другим входящим в него сегментам АС должен осуществляться только из сегмента оперативного управления.</w:t>
      </w:r>
    </w:p>
    <w:p w14:paraId="4243F3C5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Взаимодействие сегментов должно ограничиваться следующими правилами:</w:t>
      </w:r>
    </w:p>
    <w:p w14:paraId="43EBA714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t xml:space="preserve">- </w:t>
      </w:r>
      <w:r>
        <w:rPr>
          <w:rFonts w:ascii="Times New Roman" w:hAnsi="Times New Roman"/>
        </w:rPr>
        <w:t>сетевой доступ к сегментам управления из других сегментов запрещен;</w:t>
      </w:r>
    </w:p>
    <w:p w14:paraId="4275944A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взаимодействие между сегментами должно происходить исключительно через средства межсетевого экранирования;</w:t>
      </w:r>
    </w:p>
    <w:p w14:paraId="33C6B58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взаимодействие между сегментами автоматизированных систем должно обеспечиваться, в случае необходимости, только посредством выделения специализированных выделенных «буферных» сегментов. </w:t>
      </w:r>
    </w:p>
    <w:p w14:paraId="692F8D74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Правила на межсетевых экранах должны быть максимально детализированными, включая указание адресов назначения и источника, портов назначения и источника.</w:t>
      </w:r>
    </w:p>
    <w:p w14:paraId="605293E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Для взаимодействия с внешними сетями и АС должны создаваться «демилитаризованные» зоны – сегменты сети, которые обслуживают внешние сетевые запросы и соединения и из которых исключена возможность инициации соединений во внутренние сегменты сети Объекта. При этом «демилитаризованные» зоны должны быть выделены физически на канальном уровне (при наличии технической возможности без нанесения ущерба технологическому процессу).</w:t>
      </w:r>
    </w:p>
    <w:p w14:paraId="5B01BD71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Служебные протоколы оборудования, образующего ИТС, должны быть доступны только из сегмента управления ИТС.</w:t>
      </w:r>
    </w:p>
    <w:p w14:paraId="6CCD89CA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Должны быть отключены неиспользуемые и небезопасные (передающие информацию по сети в открытом, незашифрованном виде) протоколы и сервисы на сетевом оборудовании.</w:t>
      </w:r>
    </w:p>
    <w:p w14:paraId="242C003F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Неиспользуемые порты на коммутационном оборудовании должны быть отключены на логическом и физическом уровне.</w:t>
      </w:r>
    </w:p>
    <w:p w14:paraId="47124016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Доступ на уровне ИТС должен осуществляться с применением протоколов 802.1х и фильтрации MAC адресов.</w:t>
      </w:r>
    </w:p>
    <w:p w14:paraId="2231659C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Устройства беспроводной связи должны находиться физически и логически за организованным периметром ИТС Объекта. Использование беспроводной связи для передачи технологических данных, в т.ч. управляющих команд, на Объектах запрещено, за исключением защищенных и контролируемых, а также согласованных с Управлением безопасности АО «Тюменьэнерго» устройств.</w:t>
      </w:r>
    </w:p>
    <w:p w14:paraId="5C13CE70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Технологические протоколы необходимо организационными мерами строго изолировать от несанкционированного внешнего воздействия на них. При недостаточности организационных мер принимаются технические меры.</w:t>
      </w:r>
    </w:p>
    <w:p w14:paraId="7EE38470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сетевом оборудовании должны быть включены функции, защищающие от подмены сетевых адресов, и меры защиты от внедрения ложной маршрутной информации в протоколы маршрутизации.</w:t>
      </w:r>
    </w:p>
    <w:p w14:paraId="795CB026" w14:textId="77777777" w:rsidR="00D12372" w:rsidRDefault="00022218">
      <w:pPr>
        <w:pStyle w:val="af2"/>
        <w:numPr>
          <w:ilvl w:val="2"/>
          <w:numId w:val="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Должен быть включен сбор событий на уровне трафика в сети и передаваться на сервер подсистемы мониторинга информационной безопасности для контроля легитимности сетевых соединений.</w:t>
      </w:r>
    </w:p>
    <w:p w14:paraId="73DE9E8F" w14:textId="77777777" w:rsidR="00D12372" w:rsidRDefault="00022218">
      <w:pPr>
        <w:pStyle w:val="af2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АС</w:t>
      </w:r>
    </w:p>
    <w:p w14:paraId="3E75BE6C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Каждая АС должна быть изолирована от других АС на уровне сетевого взаимодействия. При необходимости взаимодействия с другими АС, взаимодействие должно быть обеспечено методами, исключающими возможность его использования в деструктивных целях для обоих АС.</w:t>
      </w:r>
    </w:p>
    <w:p w14:paraId="4617136B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сбора информации с АС, указанные АС должны позволять передавать информацию посредством отправки технологической и другой информации инициируя соединения самостоятельно (по примеру протокола Syslog). Методы в виде опроса сервисов, баз данных систем должны быть исключены (при наличии технической возможности без нанесения ущерба технологическому процессу).</w:t>
      </w:r>
    </w:p>
    <w:p w14:paraId="7E50D612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Должны обеспечиваться проверки вводимой и передаваемой на вход в АС информации.</w:t>
      </w:r>
    </w:p>
    <w:p w14:paraId="7E316772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Должно обеспечиваться резервирование конфигураций и баз данных АС.</w:t>
      </w:r>
    </w:p>
    <w:p w14:paraId="485A8ACE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Все применяемые АС должны иметь актуальную и доступную проектную и эксплуатационную документацию.</w:t>
      </w:r>
    </w:p>
    <w:p w14:paraId="548BED8E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целевом исполнении АС должны иметь механизмы электронной подписи и криптографической защиты информации, а также должны обладать процедурами двойного контроля или паритета ответственности, когда выполнение критических действий невозможно выполнить одновременно одним лицом.</w:t>
      </w:r>
    </w:p>
    <w:p w14:paraId="17254FEF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Прямой сетевой доступ к базам данных АС должен быть исключен.</w:t>
      </w:r>
    </w:p>
    <w:p w14:paraId="0D783428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Территориально распределенные АС, с выведенным функционалом по управлению на централизованное удаленное управление в частности АСТУ, должны позволять осуществлять перевод управления на нижний (местный, Объектовый уровень). Функция отключения указанного внешнего управления должна гарантировать исключение возможности включения удаленного управления извне.</w:t>
      </w:r>
    </w:p>
    <w:p w14:paraId="57759C13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 выполнении оперативного контроля (мониторинга) защищенности АС необходимо обеспечить контроль за всеми ее компонентами на каждом конкретном Объекте (уровень системного программного обеспечения, уровень прикладного ПО, уровень баз данных).</w:t>
      </w:r>
    </w:p>
    <w:p w14:paraId="55F171EC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АРМ и серверам</w:t>
      </w:r>
    </w:p>
    <w:p w14:paraId="2AAC4F97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серверах АС и АРМ в обязательном порядке должны быть установлены средства антивирусной защиты с актуальными обновлениями (при наличии технической возможности без нанесения ущерба технологическому процессу).</w:t>
      </w:r>
    </w:p>
    <w:p w14:paraId="2F761A11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Должна быть исключена возможность использования внешних устройств беспроводной связи на серверах и АРМ (блокировка необходимых портов как физически, так и логически). </w:t>
      </w:r>
    </w:p>
    <w:p w14:paraId="60D2B938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Корпуса серверов и АРМ должны быть опечатаны номерными саморазрушающимися опечатывающими устройствами с логотипом АО «Тюменьэнерго» исключающими возможность открытия системного блока без разрушения. Учет опечатывающих устройств осуществляется ДКиТ АСУ в ИС Service Desk, сотрудники ПБ обязаны проверять наличие опечатывающих устройств.</w:t>
      </w:r>
    </w:p>
    <w:p w14:paraId="0F187848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Подключение внешних устройств хранения данных по умолчанию запрещено, исключение – потребность технологического бизнес-процесса и только на ограниченное время. Также в исключительных случаях могут применяться зарегистрированные носители по согласованию с Ответственным ИБ или СИБ.</w:t>
      </w:r>
    </w:p>
    <w:p w14:paraId="38CB1AF4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Должны быть включены пароли на доступ к встроенному ПО (BIOS, UEFI, сервисы управления) серверов и АРМ.</w:t>
      </w:r>
    </w:p>
    <w:p w14:paraId="62D5D057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Должен применяться только необходимый для выполнения производственных задач состав ПО на АРМ и серверах в соответствии с заполненным в паспорте безопасности. При наличии возможности, на АРМ и серверах должна быть реализована политика белых списков в отношении используемого ПО.</w:t>
      </w:r>
    </w:p>
    <w:p w14:paraId="3FA6814E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 целом организация доступа к АРМ и серверам должна обеспечиваться посредством средств многофакторной аутентификации.</w:t>
      </w:r>
    </w:p>
    <w:p w14:paraId="71BB7628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Подключение к сети Интернет АРМ, с которых осуществляется выполнение управляющих (критических) операций (пример: управление выключателями, другие варианты телеуправления технологическими объектами), должно быть запрещено.</w:t>
      </w:r>
    </w:p>
    <w:p w14:paraId="3FB0E128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Хранение парольной информации на серверах и АРМ запрещено. Должен производиться контроль за хранением и передачей парольной информации. В случае выявления инцидентов или компрометации парольной информации должны быть инициированы проверки целостности скомпрометированных узлов и незамедлительная замена парольной информации для всех учетных записей, а также ревизия учетных записей.</w:t>
      </w:r>
    </w:p>
    <w:p w14:paraId="7FBA827C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всех АРМ и серверах должны быть включены персональные межсетевые экраны с правилами, минимально необходимыми для функционирования объектов защиты. Определение минимально необходимых правил осуществляется Ответственным ИБ совместно с работниками технологического блока и ИТ-подразделения. Весь остальной сетевой доступ должен быть заблокирован.</w:t>
      </w:r>
    </w:p>
    <w:p w14:paraId="312CCFC6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необходимости установки программного обеспечения, не вошедшего в указанный Перечень, заявка на установку такого ПО должна быть согласована с начальником СИБ в исполнительном аппарате Общества или с ПБ филиала в филиалах Общества. </w:t>
      </w:r>
    </w:p>
    <w:p w14:paraId="1F2BBB2B" w14:textId="77777777" w:rsidR="00D12372" w:rsidRDefault="00022218">
      <w:pPr>
        <w:pStyle w:val="af2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оборудованию</w:t>
      </w:r>
    </w:p>
    <w:p w14:paraId="6BB82B19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всем технологическом оборудовании Объекта и оборудовании безопасности, имеющем функции управления, должны максимально использоваться средства безопасности.</w:t>
      </w:r>
    </w:p>
    <w:p w14:paraId="135A4D0E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должно подключаться только к своим сегментам ИТС.</w:t>
      </w:r>
    </w:p>
    <w:p w14:paraId="0A4AC604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Неиспользуемый функционал и интерфейсы связи должны быть отключены. Определение неиспользуемого функционала и интерфейсов осуществляется Ответственным ИБ совместно с работниками технологического блока и ИТ-подразделения.</w:t>
      </w:r>
    </w:p>
    <w:p w14:paraId="719B3635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Должна обеспечиваться физическая защита оборудования, серверов и АРМ.</w:t>
      </w:r>
    </w:p>
    <w:p w14:paraId="6A7B7647" w14:textId="77777777" w:rsidR="00D12372" w:rsidRDefault="00022218">
      <w:pPr>
        <w:pStyle w:val="af2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подсистемам информационной безопасности</w:t>
      </w:r>
    </w:p>
    <w:p w14:paraId="1D7578B5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Минимальный состав подсистем ИБ должен состоять из следующих подсистем:</w:t>
      </w:r>
    </w:p>
    <w:p w14:paraId="3EA47558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t xml:space="preserve">- </w:t>
      </w:r>
      <w:r>
        <w:rPr>
          <w:rFonts w:ascii="Times New Roman" w:hAnsi="Times New Roman"/>
        </w:rPr>
        <w:t>резервного копирования и восстановления информации;</w:t>
      </w:r>
    </w:p>
    <w:p w14:paraId="463696A5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антивирусной защиты;</w:t>
      </w:r>
    </w:p>
    <w:p w14:paraId="373E2470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межсетевого экранирования ИТС и конечных узлов;</w:t>
      </w:r>
    </w:p>
    <w:p w14:paraId="6608B720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анализа сетевого трафика и обнаружения компьютерных атак;</w:t>
      </w:r>
    </w:p>
    <w:p w14:paraId="776629AD" w14:textId="77777777" w:rsidR="00D12372" w:rsidRDefault="00022218">
      <w:pPr>
        <w:pStyle w:val="af2"/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- мониторинга информационной безопасности (централизация сбора и анализа событий безопасности, регистрируемых на конечных узлах Объекта с целью контроля и выявления нарушений).</w:t>
      </w:r>
    </w:p>
    <w:p w14:paraId="2559D6FF" w14:textId="77777777" w:rsidR="00D12372" w:rsidRDefault="00022218">
      <w:pPr>
        <w:pStyle w:val="af2"/>
        <w:numPr>
          <w:ilvl w:val="2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Размещение подсистем на каждом объекте должно быть обосновано при проектировании систем, включая моделирование угроз.</w:t>
      </w:r>
    </w:p>
    <w:p w14:paraId="0299C5F0" w14:textId="77777777" w:rsidR="00D12372" w:rsidRDefault="00D12372">
      <w:pPr>
        <w:widowControl/>
        <w:jc w:val="both"/>
        <w:rPr>
          <w:bCs w:val="0"/>
          <w:spacing w:val="-11"/>
          <w:sz w:val="24"/>
          <w:szCs w:val="24"/>
        </w:rPr>
      </w:pPr>
    </w:p>
    <w:p w14:paraId="604B3EBC" w14:textId="77777777" w:rsidR="00D12372" w:rsidRDefault="00022218">
      <w:pPr>
        <w:pStyle w:val="af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Прочие условия</w:t>
      </w:r>
    </w:p>
    <w:p w14:paraId="41B29521" w14:textId="77777777" w:rsidR="00D12372" w:rsidRDefault="00022218">
      <w:pPr>
        <w:numPr>
          <w:ilvl w:val="1"/>
          <w:numId w:val="7"/>
        </w:numPr>
        <w:ind w:left="0" w:firstLine="0"/>
        <w:jc w:val="both"/>
        <w:rPr>
          <w:b w:val="0"/>
          <w:bCs w:val="0"/>
          <w:spacing w:val="2"/>
          <w:sz w:val="22"/>
          <w:szCs w:val="22"/>
        </w:rPr>
      </w:pPr>
      <w:r>
        <w:rPr>
          <w:b w:val="0"/>
          <w:bCs w:val="0"/>
          <w:spacing w:val="2"/>
          <w:sz w:val="22"/>
          <w:szCs w:val="22"/>
        </w:rPr>
        <w:t>Заказчик имеет право с определенной периодичностью осуществлять проверку соблюдения персоналом подрядчика правил охраны труда, а также имеет право действовать в случае их нарушения в соответствии с условиями договора.</w:t>
      </w:r>
    </w:p>
    <w:p w14:paraId="7B0FF3DE" w14:textId="77777777" w:rsidR="00D12372" w:rsidRDefault="00022218">
      <w:pPr>
        <w:numPr>
          <w:ilvl w:val="1"/>
          <w:numId w:val="7"/>
        </w:numPr>
        <w:ind w:left="0" w:firstLine="0"/>
        <w:jc w:val="both"/>
        <w:rPr>
          <w:b w:val="0"/>
          <w:sz w:val="22"/>
          <w:szCs w:val="22"/>
        </w:rPr>
      </w:pPr>
      <w:r>
        <w:rPr>
          <w:b w:val="0"/>
          <w:bCs w:val="0"/>
          <w:spacing w:val="2"/>
          <w:sz w:val="22"/>
          <w:szCs w:val="22"/>
        </w:rPr>
        <w:t xml:space="preserve">Подрядчик должен предоставить Заказчику полный комплект </w:t>
      </w:r>
      <w:r w:rsidR="00367EDA">
        <w:rPr>
          <w:b w:val="0"/>
          <w:bCs w:val="0"/>
          <w:spacing w:val="2"/>
          <w:sz w:val="22"/>
          <w:szCs w:val="22"/>
        </w:rPr>
        <w:t>исполнительной документации,</w:t>
      </w:r>
      <w:r>
        <w:rPr>
          <w:b w:val="0"/>
          <w:bCs w:val="0"/>
          <w:spacing w:val="2"/>
          <w:sz w:val="22"/>
          <w:szCs w:val="22"/>
        </w:rPr>
        <w:t xml:space="preserve"> оформленной в строгом соответствии с утвержденным АО «Тюменьэнерго» Порядком («Порядок ведения исполнительной и формирования приемо-сдаточной документации на объектах электросетевого комплекса АО «Тюменьэнерго»). Исполнительная документация предоставляется в четырех экземплярах на бумажном носителе и в четырех экземплярах в электронном виде на электронном носителе, при этом дополнительно текстовую и графическую информацию представить в стандартных форматах MS Office, AutoCAD, </w:t>
      </w:r>
      <w:r>
        <w:rPr>
          <w:b w:val="0"/>
          <w:bCs w:val="0"/>
          <w:spacing w:val="2"/>
          <w:sz w:val="22"/>
          <w:szCs w:val="22"/>
          <w:lang w:val="en-US"/>
        </w:rPr>
        <w:t>PDF</w:t>
      </w:r>
      <w:r>
        <w:rPr>
          <w:b w:val="0"/>
          <w:bCs w:val="0"/>
          <w:spacing w:val="2"/>
          <w:sz w:val="22"/>
          <w:szCs w:val="22"/>
        </w:rPr>
        <w:t xml:space="preserve">. </w:t>
      </w:r>
    </w:p>
    <w:p w14:paraId="2E0B8688" w14:textId="77777777" w:rsidR="00D12372" w:rsidRDefault="00D12372">
      <w:pPr>
        <w:jc w:val="both"/>
        <w:rPr>
          <w:b w:val="0"/>
          <w:iCs/>
          <w:sz w:val="22"/>
          <w:szCs w:val="22"/>
        </w:rPr>
      </w:pPr>
    </w:p>
    <w:tbl>
      <w:tblPr>
        <w:tblpPr w:leftFromText="180" w:rightFromText="180" w:vertAnchor="text" w:horzAnchor="margin" w:tblpY="150"/>
        <w:tblW w:w="9530" w:type="dxa"/>
        <w:tblLook w:val="01E0" w:firstRow="1" w:lastRow="1" w:firstColumn="1" w:lastColumn="1" w:noHBand="0" w:noVBand="0"/>
      </w:tblPr>
      <w:tblGrid>
        <w:gridCol w:w="9295"/>
        <w:gridCol w:w="235"/>
      </w:tblGrid>
      <w:tr w:rsidR="00D12372" w14:paraId="4C8FF778" w14:textId="77777777">
        <w:tc>
          <w:tcPr>
            <w:tcW w:w="9294" w:type="dxa"/>
            <w:shd w:val="clear" w:color="auto" w:fill="auto"/>
          </w:tcPr>
          <w:p w14:paraId="0B34E50E" w14:textId="77777777" w:rsidR="00D12372" w:rsidRDefault="00022218">
            <w:pPr>
              <w:shd w:val="clear" w:color="auto" w:fill="FFFFFF"/>
              <w:tabs>
                <w:tab w:val="left" w:pos="701"/>
              </w:tabs>
              <w:rPr>
                <w:bCs w:val="0"/>
                <w:spacing w:val="-11"/>
                <w:sz w:val="24"/>
                <w:szCs w:val="24"/>
              </w:rPr>
            </w:pPr>
            <w:r>
              <w:rPr>
                <w:bCs w:val="0"/>
                <w:spacing w:val="-11"/>
                <w:sz w:val="24"/>
                <w:szCs w:val="24"/>
              </w:rPr>
              <w:t xml:space="preserve">9. Сроки выполнения работ: </w:t>
            </w:r>
          </w:p>
          <w:p w14:paraId="0743EECE" w14:textId="77777777" w:rsidR="00D12372" w:rsidRDefault="00022218">
            <w:pPr>
              <w:numPr>
                <w:ilvl w:val="0"/>
                <w:numId w:val="3"/>
              </w:numPr>
              <w:shd w:val="clear" w:color="auto" w:fill="FFFFFF"/>
              <w:rPr>
                <w:b w:val="0"/>
                <w:bCs w:val="0"/>
                <w:spacing w:val="-2"/>
                <w:sz w:val="22"/>
                <w:szCs w:val="22"/>
              </w:rPr>
            </w:pPr>
            <w:r>
              <w:rPr>
                <w:b w:val="0"/>
                <w:bCs w:val="0"/>
                <w:spacing w:val="-11"/>
                <w:sz w:val="22"/>
                <w:szCs w:val="22"/>
              </w:rPr>
              <w:t>Начало производства работ – с момента подписания договора на выполнение работ.</w:t>
            </w:r>
          </w:p>
          <w:p w14:paraId="542D0876" w14:textId="77777777" w:rsidR="00D12372" w:rsidRDefault="00022218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b w:val="0"/>
                <w:spacing w:val="-7"/>
                <w:sz w:val="22"/>
                <w:szCs w:val="22"/>
              </w:rPr>
            </w:pPr>
            <w:r>
              <w:rPr>
                <w:b w:val="0"/>
                <w:bCs w:val="0"/>
                <w:spacing w:val="-11"/>
                <w:sz w:val="22"/>
                <w:szCs w:val="22"/>
              </w:rPr>
              <w:t>Срок окончания комплекса работ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b w:val="0"/>
                <w:bCs w:val="0"/>
                <w:sz w:val="22"/>
                <w:szCs w:val="22"/>
              </w:rPr>
              <w:t>не позднее 31.12.2019 года</w:t>
            </w:r>
          </w:p>
        </w:tc>
        <w:tc>
          <w:tcPr>
            <w:tcW w:w="235" w:type="dxa"/>
            <w:shd w:val="clear" w:color="auto" w:fill="auto"/>
          </w:tcPr>
          <w:p w14:paraId="5EAA7679" w14:textId="77777777" w:rsidR="00D12372" w:rsidRDefault="00D12372">
            <w:pPr>
              <w:tabs>
                <w:tab w:val="left" w:pos="6915"/>
                <w:tab w:val="right" w:pos="9290"/>
              </w:tabs>
              <w:ind w:right="24"/>
              <w:rPr>
                <w:b w:val="0"/>
                <w:spacing w:val="-7"/>
                <w:sz w:val="22"/>
                <w:szCs w:val="22"/>
              </w:rPr>
            </w:pPr>
          </w:p>
        </w:tc>
      </w:tr>
    </w:tbl>
    <w:p w14:paraId="4A158591" w14:textId="77777777" w:rsidR="00D12372" w:rsidRDefault="00D12372">
      <w:pPr>
        <w:shd w:val="clear" w:color="auto" w:fill="FFFFFF"/>
        <w:ind w:right="67"/>
        <w:jc w:val="center"/>
        <w:rPr>
          <w:rFonts w:eastAsia="Calibri"/>
          <w:b w:val="0"/>
          <w:bCs w:val="0"/>
          <w:sz w:val="22"/>
          <w:szCs w:val="22"/>
        </w:rPr>
      </w:pPr>
    </w:p>
    <w:p w14:paraId="36B1F6C0" w14:textId="77777777" w:rsidR="00D12372" w:rsidRDefault="00022218">
      <w:pPr>
        <w:shd w:val="clear" w:color="auto" w:fill="FFFFFF"/>
        <w:ind w:right="-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Начальник САСТУ    </w:t>
      </w:r>
      <w:r>
        <w:rPr>
          <w:b w:val="0"/>
          <w:sz w:val="24"/>
          <w:szCs w:val="24"/>
        </w:rPr>
        <w:tab/>
        <w:t xml:space="preserve">                                                                                </w:t>
      </w:r>
      <w:r>
        <w:rPr>
          <w:b w:val="0"/>
          <w:sz w:val="24"/>
          <w:szCs w:val="24"/>
        </w:rPr>
        <w:tab/>
        <w:t>Е.А. Петров</w:t>
      </w:r>
    </w:p>
    <w:p w14:paraId="6453ECE1" w14:textId="77777777" w:rsidR="00D12372" w:rsidRDefault="00D12372">
      <w:pPr>
        <w:tabs>
          <w:tab w:val="left" w:pos="7866"/>
        </w:tabs>
        <w:rPr>
          <w:b w:val="0"/>
          <w:sz w:val="24"/>
          <w:szCs w:val="24"/>
        </w:rPr>
      </w:pPr>
    </w:p>
    <w:p w14:paraId="02B3585F" w14:textId="77777777" w:rsidR="00D12372" w:rsidRDefault="00022218">
      <w:pPr>
        <w:tabs>
          <w:tab w:val="left" w:pos="7866"/>
        </w:tabs>
      </w:pPr>
      <w:r>
        <w:rPr>
          <w:b w:val="0"/>
          <w:sz w:val="24"/>
          <w:szCs w:val="24"/>
        </w:rPr>
        <w:t xml:space="preserve">Начальник ЦДС                                                                                              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>С.В. Семенов</w:t>
      </w:r>
    </w:p>
    <w:sectPr w:rsidR="00D12372">
      <w:pgSz w:w="11906" w:h="16838"/>
      <w:pgMar w:top="851" w:right="849" w:bottom="709" w:left="156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DejaVu Sans">
    <w:charset w:val="8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B21"/>
    <w:multiLevelType w:val="multilevel"/>
    <w:tmpl w:val="60702F8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9003DF"/>
    <w:multiLevelType w:val="multilevel"/>
    <w:tmpl w:val="56BE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82BB9"/>
    <w:multiLevelType w:val="multilevel"/>
    <w:tmpl w:val="10944E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19FB6AB4"/>
    <w:multiLevelType w:val="multilevel"/>
    <w:tmpl w:val="B52E331E"/>
    <w:lvl w:ilvl="0">
      <w:start w:val="1"/>
      <w:numFmt w:val="decimal"/>
      <w:lvlText w:val="4.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ind w:left="-1505" w:hanging="360"/>
      </w:pPr>
    </w:lvl>
    <w:lvl w:ilvl="2">
      <w:start w:val="1"/>
      <w:numFmt w:val="lowerRoman"/>
      <w:lvlText w:val="%3."/>
      <w:lvlJc w:val="right"/>
      <w:pPr>
        <w:ind w:left="-785" w:hanging="180"/>
      </w:pPr>
    </w:lvl>
    <w:lvl w:ilvl="3">
      <w:start w:val="1"/>
      <w:numFmt w:val="decimal"/>
      <w:lvlText w:val="%4."/>
      <w:lvlJc w:val="left"/>
      <w:pPr>
        <w:ind w:left="-65" w:hanging="360"/>
      </w:pPr>
    </w:lvl>
    <w:lvl w:ilvl="4">
      <w:start w:val="1"/>
      <w:numFmt w:val="lowerLetter"/>
      <w:lvlText w:val="%5."/>
      <w:lvlJc w:val="left"/>
      <w:pPr>
        <w:tabs>
          <w:tab w:val="num" w:pos="655"/>
        </w:tabs>
        <w:ind w:left="655" w:hanging="360"/>
      </w:pPr>
    </w:lvl>
    <w:lvl w:ilvl="5">
      <w:start w:val="1"/>
      <w:numFmt w:val="lowerRoman"/>
      <w:lvlText w:val="%6."/>
      <w:lvlJc w:val="right"/>
      <w:pPr>
        <w:tabs>
          <w:tab w:val="num" w:pos="1375"/>
        </w:tabs>
        <w:ind w:left="1375" w:hanging="180"/>
      </w:pPr>
    </w:lvl>
    <w:lvl w:ilvl="6">
      <w:start w:val="1"/>
      <w:numFmt w:val="decimal"/>
      <w:lvlText w:val="%7."/>
      <w:lvlJc w:val="left"/>
      <w:pPr>
        <w:tabs>
          <w:tab w:val="num" w:pos="2095"/>
        </w:tabs>
        <w:ind w:left="2095" w:hanging="360"/>
      </w:p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</w:lvl>
    <w:lvl w:ilvl="8">
      <w:start w:val="1"/>
      <w:numFmt w:val="lowerRoman"/>
      <w:lvlText w:val="%9."/>
      <w:lvlJc w:val="right"/>
      <w:pPr>
        <w:tabs>
          <w:tab w:val="num" w:pos="3535"/>
        </w:tabs>
        <w:ind w:left="3535" w:hanging="180"/>
      </w:pPr>
    </w:lvl>
  </w:abstractNum>
  <w:abstractNum w:abstractNumId="4" w15:restartNumberingAfterBreak="0">
    <w:nsid w:val="1A8D387C"/>
    <w:multiLevelType w:val="multilevel"/>
    <w:tmpl w:val="59127500"/>
    <w:lvl w:ilvl="0">
      <w:start w:val="1"/>
      <w:numFmt w:val="decimal"/>
      <w:lvlText w:val="1.%1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F291F5A"/>
    <w:multiLevelType w:val="multilevel"/>
    <w:tmpl w:val="CFD25ACC"/>
    <w:lvl w:ilvl="0">
      <w:start w:val="7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9845E99"/>
    <w:multiLevelType w:val="multilevel"/>
    <w:tmpl w:val="A6CA0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2."/>
      <w:lvlJc w:val="left"/>
      <w:pPr>
        <w:tabs>
          <w:tab w:val="num" w:pos="1134"/>
        </w:tabs>
        <w:ind w:left="1134" w:hanging="1134"/>
      </w:pPr>
      <w:rPr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99F70AA"/>
    <w:multiLevelType w:val="multilevel"/>
    <w:tmpl w:val="DCEA791E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EF0710D"/>
    <w:multiLevelType w:val="multilevel"/>
    <w:tmpl w:val="9244E04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34850A10"/>
    <w:multiLevelType w:val="multilevel"/>
    <w:tmpl w:val="6434AC7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10300"/>
    <w:multiLevelType w:val="multilevel"/>
    <w:tmpl w:val="A3E0449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6A44464"/>
    <w:multiLevelType w:val="multilevel"/>
    <w:tmpl w:val="058292D4"/>
    <w:lvl w:ilvl="0">
      <w:start w:val="1"/>
      <w:numFmt w:val="decimal"/>
      <w:lvlText w:val="6.%1."/>
      <w:lvlJc w:val="left"/>
      <w:pPr>
        <w:ind w:left="1287" w:hanging="360"/>
      </w:pPr>
      <w:rPr>
        <w:rFonts w:ascii="Times New Roman" w:hAnsi="Times New Roman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040C65"/>
    <w:multiLevelType w:val="multilevel"/>
    <w:tmpl w:val="FD649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10D60"/>
    <w:multiLevelType w:val="multilevel"/>
    <w:tmpl w:val="7F901E2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8"/>
  </w:num>
  <w:num w:numId="7">
    <w:abstractNumId w:val="2"/>
  </w:num>
  <w:num w:numId="8">
    <w:abstractNumId w:val="5"/>
  </w:num>
  <w:num w:numId="9">
    <w:abstractNumId w:val="12"/>
  </w:num>
  <w:num w:numId="10">
    <w:abstractNumId w:val="0"/>
  </w:num>
  <w:num w:numId="11">
    <w:abstractNumId w:val="10"/>
  </w:num>
  <w:num w:numId="12">
    <w:abstractNumId w:val="7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372"/>
    <w:rsid w:val="00022218"/>
    <w:rsid w:val="001961D1"/>
    <w:rsid w:val="00321F4D"/>
    <w:rsid w:val="00367EDA"/>
    <w:rsid w:val="007261C2"/>
    <w:rsid w:val="008E39E1"/>
    <w:rsid w:val="009E70D1"/>
    <w:rsid w:val="00B02F57"/>
    <w:rsid w:val="00C06BE2"/>
    <w:rsid w:val="00D12372"/>
    <w:rsid w:val="00F1377A"/>
    <w:rsid w:val="00FE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0DB4D"/>
  <w15:docId w15:val="{C9DD115E-6D9F-4DDF-8F82-3EB6FF76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b/>
      <w:bCs/>
      <w:lang w:eastAsia="ar-SA"/>
    </w:rPr>
  </w:style>
  <w:style w:type="paragraph" w:styleId="1">
    <w:name w:val="heading 1"/>
    <w:basedOn w:val="a"/>
    <w:qFormat/>
    <w:pPr>
      <w:keepNext/>
      <w:keepLines/>
      <w:pageBreakBefore/>
      <w:widowControl/>
      <w:numPr>
        <w:numId w:val="1"/>
      </w:numPr>
      <w:spacing w:before="480" w:after="240"/>
      <w:outlineLvl w:val="0"/>
    </w:pPr>
    <w:rPr>
      <w:rFonts w:ascii="Arial" w:hAnsi="Arial"/>
      <w:bCs w:val="0"/>
      <w:sz w:val="40"/>
    </w:rPr>
  </w:style>
  <w:style w:type="paragraph" w:styleId="2">
    <w:name w:val="heading 2"/>
    <w:basedOn w:val="a"/>
    <w:uiPriority w:val="9"/>
    <w:qFormat/>
    <w:pPr>
      <w:keepNext/>
      <w:widowControl/>
      <w:numPr>
        <w:ilvl w:val="1"/>
        <w:numId w:val="1"/>
      </w:numPr>
      <w:spacing w:before="360" w:after="120"/>
      <w:outlineLvl w:val="1"/>
    </w:pPr>
    <w:rPr>
      <w:bCs w:val="0"/>
      <w:sz w:val="32"/>
    </w:rPr>
  </w:style>
  <w:style w:type="paragraph" w:styleId="3">
    <w:name w:val="heading 3"/>
    <w:basedOn w:val="a"/>
    <w:qFormat/>
    <w:pPr>
      <w:keepNext/>
      <w:spacing w:before="240" w:after="60"/>
      <w:outlineLvl w:val="2"/>
    </w:pPr>
    <w:rPr>
      <w:rFonts w:ascii="Arial" w:hAnsi="Arial" w:cs="Arial"/>
      <w:sz w:val="26"/>
      <w:szCs w:val="26"/>
    </w:rPr>
  </w:style>
  <w:style w:type="paragraph" w:styleId="4">
    <w:name w:val="heading 4"/>
    <w:basedOn w:val="1"/>
    <w:qFormat/>
    <w:pPr>
      <w:pageBreakBefore w:val="0"/>
      <w:numPr>
        <w:numId w:val="0"/>
      </w:numPr>
      <w:suppressAutoHyphens w:val="0"/>
      <w:spacing w:before="0" w:after="120" w:line="288" w:lineRule="auto"/>
      <w:ind w:firstLine="720"/>
      <w:jc w:val="both"/>
      <w:outlineLvl w:val="3"/>
    </w:pPr>
    <w:rPr>
      <w:rFonts w:ascii="Times New Roman" w:hAnsi="Times New Roman"/>
      <w:b w:val="0"/>
      <w:bCs/>
      <w:sz w:val="24"/>
      <w:szCs w:val="24"/>
    </w:rPr>
  </w:style>
  <w:style w:type="paragraph" w:styleId="5">
    <w:name w:val="heading 5"/>
    <w:basedOn w:val="1"/>
    <w:qFormat/>
    <w:pPr>
      <w:pageBreakBefore w:val="0"/>
      <w:numPr>
        <w:numId w:val="0"/>
      </w:numPr>
      <w:suppressAutoHyphens w:val="0"/>
      <w:spacing w:before="0" w:after="200" w:line="288" w:lineRule="auto"/>
      <w:ind w:firstLine="720"/>
      <w:jc w:val="both"/>
      <w:outlineLvl w:val="4"/>
    </w:pPr>
    <w:rPr>
      <w:rFonts w:ascii="Times New Roman" w:hAnsi="Times New Roman"/>
      <w:b w:val="0"/>
      <w:bCs/>
      <w:sz w:val="24"/>
      <w:szCs w:val="24"/>
    </w:rPr>
  </w:style>
  <w:style w:type="paragraph" w:styleId="6">
    <w:name w:val="heading 6"/>
    <w:basedOn w:val="1"/>
    <w:qFormat/>
    <w:pPr>
      <w:pageBreakBefore w:val="0"/>
      <w:numPr>
        <w:numId w:val="0"/>
      </w:numPr>
      <w:suppressAutoHyphens w:val="0"/>
      <w:spacing w:before="240" w:after="200" w:line="288" w:lineRule="auto"/>
      <w:ind w:firstLine="720"/>
      <w:jc w:val="both"/>
      <w:outlineLvl w:val="5"/>
    </w:pPr>
    <w:rPr>
      <w:rFonts w:ascii="Times New Roman" w:hAnsi="Times New Roman"/>
      <w:b w:val="0"/>
      <w:sz w:val="24"/>
      <w:szCs w:val="24"/>
    </w:rPr>
  </w:style>
  <w:style w:type="paragraph" w:styleId="7">
    <w:name w:val="heading 7"/>
    <w:basedOn w:val="1"/>
    <w:qFormat/>
    <w:pPr>
      <w:pageBreakBefore w:val="0"/>
      <w:numPr>
        <w:numId w:val="0"/>
      </w:numPr>
      <w:suppressAutoHyphens w:val="0"/>
      <w:spacing w:before="240" w:after="200" w:line="288" w:lineRule="auto"/>
      <w:ind w:firstLine="720"/>
      <w:jc w:val="both"/>
      <w:outlineLvl w:val="6"/>
    </w:pPr>
    <w:rPr>
      <w:rFonts w:ascii="Times New Roman" w:hAnsi="Times New Roman"/>
      <w:b w:val="0"/>
      <w:bCs/>
      <w:sz w:val="24"/>
      <w:szCs w:val="24"/>
    </w:rPr>
  </w:style>
  <w:style w:type="paragraph" w:styleId="8">
    <w:name w:val="heading 8"/>
    <w:basedOn w:val="1"/>
    <w:qFormat/>
    <w:pPr>
      <w:pageBreakBefore w:val="0"/>
      <w:numPr>
        <w:numId w:val="0"/>
      </w:numPr>
      <w:suppressAutoHyphens w:val="0"/>
      <w:spacing w:before="240" w:after="200" w:line="288" w:lineRule="auto"/>
      <w:ind w:firstLine="720"/>
      <w:outlineLvl w:val="7"/>
    </w:pPr>
    <w:rPr>
      <w:rFonts w:ascii="Times New Roman" w:hAnsi="Times New Roman"/>
      <w:b w:val="0"/>
      <w:bCs/>
      <w:iCs/>
      <w:sz w:val="24"/>
      <w:szCs w:val="24"/>
    </w:rPr>
  </w:style>
  <w:style w:type="paragraph" w:styleId="9">
    <w:name w:val="heading 9"/>
    <w:basedOn w:val="1"/>
    <w:qFormat/>
    <w:pPr>
      <w:pageBreakBefore w:val="0"/>
      <w:numPr>
        <w:numId w:val="0"/>
      </w:numPr>
      <w:suppressAutoHyphens w:val="0"/>
      <w:spacing w:before="240" w:after="120" w:line="288" w:lineRule="auto"/>
      <w:ind w:firstLine="720"/>
      <w:jc w:val="both"/>
      <w:outlineLvl w:val="8"/>
    </w:pPr>
    <w:rPr>
      <w:rFonts w:ascii="Times New Roman" w:hAnsi="Times New Roman" w:cs="Arial"/>
      <w:b w:val="0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1">
    <w:name w:val="WW8Num1z1"/>
    <w:qFormat/>
    <w:rPr>
      <w:sz w:val="24"/>
      <w:szCs w:val="24"/>
    </w:rPr>
  </w:style>
  <w:style w:type="character" w:customStyle="1" w:styleId="WW8Num1z2">
    <w:name w:val="WW8Num1z2"/>
    <w:qFormat/>
    <w:rPr>
      <w:b w:val="0"/>
      <w:i w:val="0"/>
      <w:sz w:val="24"/>
      <w:szCs w:val="24"/>
      <w:em w:val="none"/>
    </w:rPr>
  </w:style>
  <w:style w:type="character" w:customStyle="1" w:styleId="WW8Num1z3">
    <w:name w:val="WW8Num1z3"/>
    <w:qFormat/>
    <w:rPr>
      <w:b w:val="0"/>
      <w:i w:val="0"/>
    </w:rPr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WW8Num4z0">
    <w:name w:val="WW8Num4z0"/>
    <w:qFormat/>
    <w:rPr>
      <w:rFonts w:ascii="Symbol" w:hAnsi="Symbol"/>
      <w:color w:val="00000A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  <w:color w:val="00000A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2z0">
    <w:name w:val="WW8Num12z0"/>
    <w:qFormat/>
    <w:rPr>
      <w:rFonts w:ascii="Symbol" w:hAnsi="Symbol"/>
    </w:rPr>
  </w:style>
  <w:style w:type="character" w:customStyle="1" w:styleId="WW8Num13z0">
    <w:name w:val="WW8Num13z0"/>
    <w:qFormat/>
    <w:rPr>
      <w:rFonts w:ascii="Symbol" w:hAnsi="Symbol"/>
    </w:rPr>
  </w:style>
  <w:style w:type="character" w:customStyle="1" w:styleId="WW8Num14z0">
    <w:name w:val="WW8Num14z0"/>
    <w:qFormat/>
    <w:rPr>
      <w:rFonts w:ascii="Symbol" w:hAnsi="Symbol"/>
      <w:b w:val="0"/>
      <w:i w:val="0"/>
      <w:color w:val="00000A"/>
      <w:sz w:val="24"/>
      <w:szCs w:val="24"/>
      <w:u w:val="none"/>
    </w:rPr>
  </w:style>
  <w:style w:type="character" w:customStyle="1" w:styleId="WW8Num15z0">
    <w:name w:val="WW8Num15z0"/>
    <w:qFormat/>
    <w:rPr>
      <w:rFonts w:ascii="Times New Roman" w:hAnsi="Times New Roman" w:cs="Times New Roman"/>
    </w:rPr>
  </w:style>
  <w:style w:type="character" w:customStyle="1" w:styleId="WW8Num16z0">
    <w:name w:val="WW8Num16z0"/>
    <w:qFormat/>
    <w:rPr>
      <w:rFonts w:ascii="Symbol" w:hAnsi="Symbol"/>
      <w:b w:val="0"/>
      <w:i w:val="0"/>
      <w:color w:val="00000A"/>
      <w:sz w:val="24"/>
      <w:szCs w:val="24"/>
      <w:u w:val="none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8z0">
    <w:name w:val="WW8Num18z0"/>
    <w:qFormat/>
    <w:rPr>
      <w:rFonts w:ascii="Symbol" w:hAnsi="Symbol"/>
    </w:rPr>
  </w:style>
  <w:style w:type="character" w:customStyle="1" w:styleId="WW8Num19z0">
    <w:name w:val="WW8Num19z0"/>
    <w:qFormat/>
    <w:rPr>
      <w:rFonts w:ascii="Symbol" w:hAnsi="Symbol"/>
      <w:b w:val="0"/>
      <w:i w:val="0"/>
      <w:color w:val="00000A"/>
      <w:sz w:val="24"/>
      <w:szCs w:val="24"/>
      <w:u w:val="none"/>
    </w:rPr>
  </w:style>
  <w:style w:type="character" w:customStyle="1" w:styleId="WW8Num20z0">
    <w:name w:val="WW8Num20z0"/>
    <w:qFormat/>
    <w:rPr>
      <w:rFonts w:ascii="Symbol" w:hAnsi="Symbol"/>
    </w:rPr>
  </w:style>
  <w:style w:type="character" w:customStyle="1" w:styleId="WW8Num21z0">
    <w:name w:val="WW8Num21z0"/>
    <w:qFormat/>
    <w:rPr>
      <w:rFonts w:ascii="Symbol" w:hAnsi="Symbol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3z0">
    <w:name w:val="WW8Num23z0"/>
    <w:qFormat/>
    <w:rPr>
      <w:rFonts w:ascii="Symbol" w:hAnsi="Symbol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/>
    </w:rPr>
  </w:style>
  <w:style w:type="character" w:customStyle="1" w:styleId="WW8Num25z3">
    <w:name w:val="WW8Num25z3"/>
    <w:qFormat/>
    <w:rPr>
      <w:b w:val="0"/>
      <w:i w:val="0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7z0">
    <w:name w:val="WW8Num27z0"/>
    <w:qFormat/>
    <w:rPr>
      <w:rFonts w:ascii="Symbol" w:hAnsi="Symbol"/>
    </w:rPr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9z0">
    <w:name w:val="WW8Num29z0"/>
    <w:qFormat/>
    <w:rPr>
      <w:rFonts w:ascii="Symbol" w:hAnsi="Symbol"/>
    </w:rPr>
  </w:style>
  <w:style w:type="character" w:customStyle="1" w:styleId="WW8Num30z0">
    <w:name w:val="WW8Num30z0"/>
    <w:qFormat/>
    <w:rPr>
      <w:rFonts w:ascii="Times New Roman" w:hAnsi="Times New Roman" w:cs="Times New Roman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hAnsi="Times New Roman" w:cs="Times New Roman"/>
    </w:rPr>
  </w:style>
  <w:style w:type="character" w:customStyle="1" w:styleId="WW8Num33z0">
    <w:name w:val="WW8Num33z0"/>
    <w:qFormat/>
    <w:rPr>
      <w:rFonts w:ascii="Symbol" w:hAnsi="Symbol"/>
    </w:rPr>
  </w:style>
  <w:style w:type="character" w:customStyle="1" w:styleId="WW8Num34z0">
    <w:name w:val="WW8Num34z0"/>
    <w:qFormat/>
    <w:rPr>
      <w:rFonts w:ascii="Symbol" w:hAnsi="Symbol"/>
    </w:rPr>
  </w:style>
  <w:style w:type="character" w:customStyle="1" w:styleId="WW8Num35z0">
    <w:name w:val="WW8Num35z0"/>
    <w:qFormat/>
    <w:rPr>
      <w:rFonts w:ascii="Symbol" w:hAnsi="Symbol"/>
    </w:rPr>
  </w:style>
  <w:style w:type="character" w:customStyle="1" w:styleId="WW8Num36z0">
    <w:name w:val="WW8Num36z0"/>
    <w:qFormat/>
    <w:rPr>
      <w:b/>
    </w:rPr>
  </w:style>
  <w:style w:type="character" w:customStyle="1" w:styleId="WW8Num37z0">
    <w:name w:val="WW8Num37z0"/>
    <w:qFormat/>
    <w:rPr>
      <w:rFonts w:ascii="Symbol" w:hAnsi="Symbol"/>
    </w:rPr>
  </w:style>
  <w:style w:type="character" w:customStyle="1" w:styleId="WW8Num38z0">
    <w:name w:val="WW8Num38z0"/>
    <w:qFormat/>
    <w:rPr>
      <w:rFonts w:ascii="Symbol" w:hAnsi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/>
    </w:rPr>
  </w:style>
  <w:style w:type="character" w:customStyle="1" w:styleId="WW8Num40z0">
    <w:name w:val="WW8Num40z0"/>
    <w:qFormat/>
    <w:rPr>
      <w:rFonts w:ascii="Symbol" w:hAnsi="Symbol"/>
      <w:b w:val="0"/>
      <w:i w:val="0"/>
      <w:color w:val="00000A"/>
      <w:sz w:val="24"/>
      <w:szCs w:val="24"/>
      <w:u w:val="none"/>
    </w:rPr>
  </w:style>
  <w:style w:type="character" w:customStyle="1" w:styleId="20">
    <w:name w:val="Основной шрифт абзаца2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4z1">
    <w:name w:val="WW8Num4z1"/>
    <w:qFormat/>
    <w:rPr>
      <w:sz w:val="24"/>
      <w:szCs w:val="24"/>
    </w:rPr>
  </w:style>
  <w:style w:type="character" w:customStyle="1" w:styleId="WW8Num4z2">
    <w:name w:val="WW8Num4z2"/>
    <w:qFormat/>
    <w:rPr>
      <w:b w:val="0"/>
      <w:i w:val="0"/>
      <w:sz w:val="24"/>
    </w:rPr>
  </w:style>
  <w:style w:type="character" w:customStyle="1" w:styleId="WW8Num4z3">
    <w:name w:val="WW8Num4z3"/>
    <w:qFormat/>
    <w:rPr>
      <w:b w:val="0"/>
      <w:i w:val="0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/>
    </w:rPr>
  </w:style>
  <w:style w:type="character" w:customStyle="1" w:styleId="WW8Num19z3">
    <w:name w:val="WW8Num19z3"/>
    <w:qFormat/>
    <w:rPr>
      <w:rFonts w:ascii="Symbol" w:hAnsi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/>
    </w:rPr>
  </w:style>
  <w:style w:type="character" w:customStyle="1" w:styleId="WW8Num25z0">
    <w:name w:val="WW8Num25z0"/>
    <w:qFormat/>
    <w:rPr>
      <w:rFonts w:ascii="Symbol" w:hAnsi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2z1">
    <w:name w:val="WW8Num32z1"/>
    <w:qFormat/>
    <w:rPr>
      <w:sz w:val="24"/>
      <w:szCs w:val="24"/>
    </w:rPr>
  </w:style>
  <w:style w:type="character" w:customStyle="1" w:styleId="WW8Num32z2">
    <w:name w:val="WW8Num32z2"/>
    <w:qFormat/>
    <w:rPr>
      <w:b w:val="0"/>
      <w:i w:val="0"/>
      <w:sz w:val="24"/>
      <w:szCs w:val="24"/>
      <w:em w:val="none"/>
    </w:rPr>
  </w:style>
  <w:style w:type="character" w:customStyle="1" w:styleId="WW8Num32z3">
    <w:name w:val="WW8Num32z3"/>
    <w:qFormat/>
    <w:rPr>
      <w:b w:val="0"/>
      <w:i w:val="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/>
    </w:rPr>
  </w:style>
  <w:style w:type="character" w:customStyle="1" w:styleId="WW8Num39z0">
    <w:name w:val="WW8Num39z0"/>
    <w:qFormat/>
    <w:rPr>
      <w:rFonts w:ascii="Symbol" w:hAnsi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WW8Num40z3">
    <w:name w:val="WW8Num40z3"/>
    <w:qFormat/>
    <w:rPr>
      <w:rFonts w:ascii="Symbol" w:hAnsi="Symbol"/>
    </w:rPr>
  </w:style>
  <w:style w:type="character" w:customStyle="1" w:styleId="WW8Num41z0">
    <w:name w:val="WW8Num41z0"/>
    <w:qFormat/>
    <w:rPr>
      <w:rFonts w:ascii="Times New Roman" w:hAnsi="Times New Roman" w:cs="Times New Roman"/>
    </w:rPr>
  </w:style>
  <w:style w:type="character" w:customStyle="1" w:styleId="WW8Num42z0">
    <w:name w:val="WW8Num42z0"/>
    <w:qFormat/>
    <w:rPr>
      <w:rFonts w:ascii="Symbol" w:hAnsi="Symbol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/>
    </w:rPr>
  </w:style>
  <w:style w:type="character" w:customStyle="1" w:styleId="WW8Num43z0">
    <w:name w:val="WW8Num43z0"/>
    <w:qFormat/>
    <w:rPr>
      <w:rFonts w:ascii="Symbol" w:hAnsi="Symbol"/>
      <w:b w:val="0"/>
      <w:i w:val="0"/>
      <w:color w:val="00000A"/>
      <w:sz w:val="24"/>
      <w:szCs w:val="24"/>
      <w:u w:val="none"/>
    </w:rPr>
  </w:style>
  <w:style w:type="character" w:customStyle="1" w:styleId="WW8Num43z1">
    <w:name w:val="WW8Num43z1"/>
    <w:qFormat/>
    <w:rPr>
      <w:b w:val="0"/>
      <w:i w:val="0"/>
      <w:color w:val="00000A"/>
      <w:sz w:val="24"/>
      <w:szCs w:val="24"/>
      <w:u w:val="none"/>
    </w:rPr>
  </w:style>
  <w:style w:type="character" w:customStyle="1" w:styleId="WW8Num43z2">
    <w:name w:val="WW8Num43z2"/>
    <w:qFormat/>
    <w:rPr>
      <w:rFonts w:ascii="Wingdings" w:hAnsi="Wingdings"/>
    </w:rPr>
  </w:style>
  <w:style w:type="character" w:customStyle="1" w:styleId="WW8Num43z3">
    <w:name w:val="WW8Num43z3"/>
    <w:qFormat/>
    <w:rPr>
      <w:rFonts w:ascii="Symbol" w:hAnsi="Symbol"/>
    </w:rPr>
  </w:style>
  <w:style w:type="character" w:customStyle="1" w:styleId="WW8Num43z4">
    <w:name w:val="WW8Num43z4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rFonts w:ascii="Symbol" w:hAnsi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/>
    </w:rPr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10">
    <w:name w:val="Основной шрифт абзаца1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3">
    <w:name w:val="комментарий"/>
    <w:qFormat/>
    <w:rPr>
      <w:i/>
      <w:shd w:val="clear" w:color="auto" w:fill="FFFF99"/>
    </w:rPr>
  </w:style>
  <w:style w:type="character" w:customStyle="1" w:styleId="11">
    <w:name w:val="Подпункт Знак1"/>
    <w:qFormat/>
    <w:rPr>
      <w:sz w:val="28"/>
      <w:lang w:val="ru-RU" w:eastAsia="ar-SA" w:bidi="ar-SA"/>
    </w:rPr>
  </w:style>
  <w:style w:type="character" w:customStyle="1" w:styleId="12">
    <w:name w:val="Пункт Знак1"/>
    <w:qFormat/>
    <w:rPr>
      <w:sz w:val="28"/>
      <w:lang w:val="ru-RU" w:eastAsia="ar-SA" w:bidi="ar-SA"/>
    </w:rPr>
  </w:style>
  <w:style w:type="character" w:customStyle="1" w:styleId="text1">
    <w:name w:val="text1"/>
    <w:basedOn w:val="10"/>
    <w:qFormat/>
  </w:style>
  <w:style w:type="character" w:styleId="a4">
    <w:name w:val="Emphasis"/>
    <w:qFormat/>
    <w:rPr>
      <w:b/>
      <w:bCs/>
      <w:i w:val="0"/>
      <w:iCs w:val="0"/>
    </w:rPr>
  </w:style>
  <w:style w:type="character" w:customStyle="1" w:styleId="21">
    <w:name w:val="Основной текст 2 Знак"/>
    <w:link w:val="22"/>
    <w:qFormat/>
    <w:rPr>
      <w:b/>
      <w:bCs/>
      <w:lang w:eastAsia="ar-SA"/>
    </w:rPr>
  </w:style>
  <w:style w:type="character" w:customStyle="1" w:styleId="23">
    <w:name w:val="Основной текст с отступом 2 Знак"/>
    <w:qFormat/>
    <w:rPr>
      <w:sz w:val="24"/>
      <w:szCs w:val="24"/>
    </w:rPr>
  </w:style>
  <w:style w:type="character" w:customStyle="1" w:styleId="30">
    <w:name w:val="Основной текст 3 Знак"/>
    <w:uiPriority w:val="99"/>
    <w:qFormat/>
    <w:rPr>
      <w:b/>
      <w:bCs/>
      <w:sz w:val="16"/>
      <w:szCs w:val="16"/>
      <w:lang w:eastAsia="ar-SA"/>
    </w:rPr>
  </w:style>
  <w:style w:type="character" w:customStyle="1" w:styleId="31">
    <w:name w:val="Основной текст 3 Знак1"/>
    <w:qFormat/>
    <w:rPr>
      <w:sz w:val="16"/>
      <w:szCs w:val="16"/>
      <w:lang w:val="x-none" w:eastAsia="x-none"/>
    </w:rPr>
  </w:style>
  <w:style w:type="character" w:customStyle="1" w:styleId="a5">
    <w:name w:val="Пояснительная записка(ТЕКСТ) Знак Знак"/>
    <w:qFormat/>
    <w:rPr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3"/>
    <w:uiPriority w:val="99"/>
    <w:qFormat/>
    <w:rPr>
      <w:sz w:val="16"/>
      <w:szCs w:val="16"/>
      <w:lang w:val="x-none" w:eastAsia="x-none"/>
    </w:rPr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_"/>
    <w:qFormat/>
    <w:rPr>
      <w:shd w:val="clear" w:color="auto" w:fill="FFFFFF"/>
    </w:rPr>
  </w:style>
  <w:style w:type="character" w:customStyle="1" w:styleId="a8">
    <w:name w:val="Подпись к таблице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a9">
    <w:name w:val="Подпись к таблице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single"/>
      <w:lang w:val="ru-RU" w:eastAsia="ru-RU" w:bidi="ru-RU"/>
    </w:rPr>
  </w:style>
  <w:style w:type="character" w:customStyle="1" w:styleId="24">
    <w:name w:val="Основной текст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95pt">
    <w:name w:val="Основной текст + 9;5 pt;Полужирный;Курсив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a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ab">
    <w:name w:val="Основной текст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ListLabel1">
    <w:name w:val="ListLabel 1"/>
    <w:qFormat/>
    <w:rPr>
      <w:sz w:val="24"/>
      <w:szCs w:val="24"/>
    </w:rPr>
  </w:style>
  <w:style w:type="character" w:customStyle="1" w:styleId="ListLabel2">
    <w:name w:val="ListLabel 2"/>
    <w:qFormat/>
    <w:rPr>
      <w:b w:val="0"/>
      <w:i w:val="0"/>
      <w:sz w:val="24"/>
      <w:szCs w:val="24"/>
      <w:em w:val="none"/>
    </w:rPr>
  </w:style>
  <w:style w:type="character" w:customStyle="1" w:styleId="ListLabel3">
    <w:name w:val="ListLabel 3"/>
    <w:qFormat/>
    <w:rPr>
      <w:b w:val="0"/>
      <w:i w:val="0"/>
    </w:rPr>
  </w:style>
  <w:style w:type="character" w:customStyle="1" w:styleId="ListLabel4">
    <w:name w:val="ListLabel 4"/>
    <w:qFormat/>
    <w:rPr>
      <w:b w:val="0"/>
      <w:i w:val="0"/>
      <w:color w:val="00000A"/>
      <w:sz w:val="24"/>
      <w:szCs w:val="24"/>
      <w:u w:val="none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  <w:i w:val="0"/>
    </w:rPr>
  </w:style>
  <w:style w:type="character" w:customStyle="1" w:styleId="ListLabel7">
    <w:name w:val="ListLabel 7"/>
    <w:qFormat/>
    <w:rPr>
      <w:b w:val="0"/>
      <w:sz w:val="22"/>
    </w:rPr>
  </w:style>
  <w:style w:type="character" w:customStyle="1" w:styleId="ListLabel8">
    <w:name w:val="ListLabel 8"/>
    <w:qFormat/>
    <w:rPr>
      <w:rFonts w:ascii="Times New Roman" w:hAnsi="Times New Roman" w:cs="Times New Roman"/>
      <w:b w:val="0"/>
      <w:sz w:val="22"/>
    </w:rPr>
  </w:style>
  <w:style w:type="character" w:customStyle="1" w:styleId="ListLabel9">
    <w:name w:val="ListLabel 9"/>
    <w:qFormat/>
    <w:rPr>
      <w:b w:val="0"/>
      <w:i w:val="0"/>
      <w:sz w:val="24"/>
    </w:rPr>
  </w:style>
  <w:style w:type="character" w:customStyle="1" w:styleId="ListLabel10">
    <w:name w:val="ListLabel 10"/>
    <w:qFormat/>
    <w:rPr>
      <w:b w:val="0"/>
      <w:i w:val="0"/>
    </w:rPr>
  </w:style>
  <w:style w:type="character" w:customStyle="1" w:styleId="ListLabel11">
    <w:name w:val="ListLabel 11"/>
    <w:qFormat/>
    <w:rPr>
      <w:rFonts w:cs="Times New Roman"/>
      <w:color w:val="00000A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paragraph" w:customStyle="1" w:styleId="Heading">
    <w:name w:val="Heading"/>
    <w:basedOn w:val="a"/>
    <w:next w:val="ac"/>
    <w:qFormat/>
    <w:rPr>
      <w:rFonts w:ascii="Arial" w:eastAsia="Arial" w:hAnsi="Arial" w:cs="Arial"/>
      <w:sz w:val="22"/>
      <w:szCs w:val="22"/>
    </w:rPr>
  </w:style>
  <w:style w:type="paragraph" w:styleId="ac">
    <w:name w:val="Body Text"/>
    <w:basedOn w:val="a"/>
    <w:pPr>
      <w:widowControl/>
      <w:tabs>
        <w:tab w:val="right" w:pos="9360"/>
      </w:tabs>
    </w:pPr>
    <w:rPr>
      <w:b w:val="0"/>
      <w:bCs w:val="0"/>
      <w:sz w:val="28"/>
      <w:szCs w:val="24"/>
    </w:r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13">
    <w:name w:val="Заголовок1"/>
    <w:basedOn w:val="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"/>
    <w:basedOn w:val="a"/>
    <w:link w:val="21"/>
    <w:qFormat/>
    <w:pPr>
      <w:suppressLineNumbers/>
    </w:p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  <w:qFormat/>
    <w:pPr>
      <w:suppressLineNumbers/>
    </w:pPr>
  </w:style>
  <w:style w:type="paragraph" w:customStyle="1" w:styleId="af">
    <w:name w:val="Пункт"/>
    <w:basedOn w:val="a"/>
    <w:qFormat/>
    <w:pPr>
      <w:widowControl/>
      <w:spacing w:line="360" w:lineRule="auto"/>
      <w:jc w:val="both"/>
    </w:pPr>
    <w:rPr>
      <w:b w:val="0"/>
      <w:bCs w:val="0"/>
      <w:sz w:val="28"/>
    </w:rPr>
  </w:style>
  <w:style w:type="paragraph" w:customStyle="1" w:styleId="af0">
    <w:name w:val="Подпункт"/>
    <w:basedOn w:val="af"/>
    <w:qFormat/>
  </w:style>
  <w:style w:type="paragraph" w:customStyle="1" w:styleId="310">
    <w:name w:val="Маркированный список 31"/>
    <w:basedOn w:val="a"/>
    <w:qFormat/>
    <w:pPr>
      <w:widowControl/>
      <w:spacing w:line="360" w:lineRule="auto"/>
      <w:jc w:val="both"/>
    </w:pPr>
    <w:rPr>
      <w:b w:val="0"/>
      <w:bCs w:val="0"/>
      <w:sz w:val="28"/>
    </w:rPr>
  </w:style>
  <w:style w:type="paragraph" w:customStyle="1" w:styleId="16">
    <w:name w:val="Обычный отступ1"/>
    <w:basedOn w:val="a"/>
    <w:qFormat/>
    <w:pPr>
      <w:widowControl/>
      <w:ind w:left="708"/>
    </w:pPr>
    <w:rPr>
      <w:b w:val="0"/>
      <w:bCs w:val="0"/>
      <w:sz w:val="24"/>
      <w:szCs w:val="24"/>
    </w:rPr>
  </w:style>
  <w:style w:type="paragraph" w:customStyle="1" w:styleId="41">
    <w:name w:val="Маркированный список 41"/>
    <w:basedOn w:val="a"/>
    <w:qFormat/>
    <w:pPr>
      <w:tabs>
        <w:tab w:val="left" w:pos="1209"/>
      </w:tabs>
      <w:ind w:left="1209" w:hanging="360"/>
    </w:pPr>
  </w:style>
  <w:style w:type="paragraph" w:customStyle="1" w:styleId="af1">
    <w:name w:val="Знак"/>
    <w:basedOn w:val="a"/>
    <w:qFormat/>
    <w:pPr>
      <w:widowControl/>
      <w:tabs>
        <w:tab w:val="left" w:pos="360"/>
      </w:tabs>
      <w:spacing w:before="100" w:after="100" w:line="240" w:lineRule="exact"/>
      <w:jc w:val="both"/>
    </w:pPr>
    <w:rPr>
      <w:rFonts w:ascii="Verdana" w:hAnsi="Verdana" w:cs="Verdana"/>
      <w:b w:val="0"/>
      <w:bCs w:val="0"/>
      <w:lang w:val="en-US"/>
    </w:rPr>
  </w:style>
  <w:style w:type="paragraph" w:customStyle="1" w:styleId="BCNormal12">
    <w:name w:val="BC Normal 12"/>
    <w:basedOn w:val="a"/>
    <w:qFormat/>
    <w:pPr>
      <w:widowControl/>
      <w:spacing w:before="60" w:after="60"/>
      <w:jc w:val="both"/>
    </w:pPr>
    <w:rPr>
      <w:b w:val="0"/>
      <w:bCs w:val="0"/>
      <w:sz w:val="24"/>
      <w:szCs w:val="24"/>
    </w:rPr>
  </w:style>
  <w:style w:type="paragraph" w:styleId="af2">
    <w:name w:val="List Paragraph"/>
    <w:basedOn w:val="a"/>
    <w:uiPriority w:val="34"/>
    <w:qFormat/>
    <w:pPr>
      <w:widowControl/>
      <w:spacing w:after="200" w:line="276" w:lineRule="auto"/>
      <w:ind w:left="720"/>
    </w:pPr>
    <w:rPr>
      <w:rFonts w:ascii="Calibri" w:eastAsia="Calibri" w:hAnsi="Calibri"/>
      <w:b w:val="0"/>
      <w:bCs w:val="0"/>
      <w:sz w:val="22"/>
      <w:szCs w:val="22"/>
    </w:rPr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7">
    <w:name w:val="Маркированный список1"/>
    <w:basedOn w:val="a"/>
    <w:qFormat/>
  </w:style>
  <w:style w:type="paragraph" w:customStyle="1" w:styleId="TableListBullet">
    <w:name w:val="Table List Bullet"/>
    <w:basedOn w:val="a"/>
    <w:qFormat/>
    <w:pPr>
      <w:keepLines/>
      <w:widowControl/>
      <w:tabs>
        <w:tab w:val="left" w:pos="567"/>
      </w:tabs>
      <w:spacing w:before="40" w:after="40" w:line="288" w:lineRule="auto"/>
      <w:jc w:val="both"/>
    </w:pPr>
    <w:rPr>
      <w:b w:val="0"/>
      <w:bCs w:val="0"/>
      <w:sz w:val="28"/>
      <w:szCs w:val="24"/>
    </w:rPr>
  </w:style>
  <w:style w:type="paragraph" w:styleId="26">
    <w:name w:val="toc 2"/>
    <w:basedOn w:val="a"/>
    <w:pPr>
      <w:widowControl/>
      <w:tabs>
        <w:tab w:val="right" w:pos="9639"/>
      </w:tabs>
      <w:spacing w:after="60" w:line="288" w:lineRule="auto"/>
      <w:ind w:right="1134" w:firstLine="567"/>
    </w:pPr>
    <w:rPr>
      <w:b w:val="0"/>
      <w:bCs w:val="0"/>
      <w:sz w:val="28"/>
      <w:szCs w:val="22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</w:style>
  <w:style w:type="paragraph" w:styleId="af6">
    <w:name w:val="Body Text Indent"/>
    <w:basedOn w:val="a"/>
    <w:pPr>
      <w:spacing w:after="120"/>
      <w:ind w:left="283"/>
    </w:pPr>
  </w:style>
  <w:style w:type="paragraph" w:customStyle="1" w:styleId="af7">
    <w:name w:val="Список с цифрой"/>
    <w:basedOn w:val="a"/>
    <w:qFormat/>
    <w:pPr>
      <w:widowControl/>
      <w:suppressAutoHyphens w:val="0"/>
      <w:spacing w:before="60" w:after="60"/>
      <w:jc w:val="both"/>
    </w:pPr>
    <w:rPr>
      <w:b w:val="0"/>
      <w:bCs w:val="0"/>
      <w:sz w:val="24"/>
      <w:lang w:eastAsia="ru-RU"/>
    </w:rPr>
  </w:style>
  <w:style w:type="paragraph" w:customStyle="1" w:styleId="af8">
    <w:name w:val="Титул Заглавие"/>
    <w:basedOn w:val="27"/>
    <w:qFormat/>
    <w:pPr>
      <w:widowControl/>
      <w:suppressAutoHyphens w:val="0"/>
      <w:spacing w:after="0" w:line="240" w:lineRule="auto"/>
      <w:jc w:val="center"/>
    </w:pPr>
    <w:rPr>
      <w:sz w:val="36"/>
      <w:lang w:eastAsia="ru-RU"/>
    </w:rPr>
  </w:style>
  <w:style w:type="paragraph" w:styleId="27">
    <w:name w:val="Body Text 2"/>
    <w:basedOn w:val="a"/>
    <w:link w:val="210"/>
    <w:qFormat/>
    <w:pPr>
      <w:spacing w:after="120" w:line="480" w:lineRule="auto"/>
    </w:p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28">
    <w:name w:val="Body Text Indent 2"/>
    <w:basedOn w:val="a"/>
    <w:qFormat/>
    <w:pPr>
      <w:widowControl/>
      <w:suppressAutoHyphens w:val="0"/>
      <w:spacing w:after="120" w:line="480" w:lineRule="auto"/>
      <w:ind w:left="283"/>
    </w:pPr>
    <w:rPr>
      <w:b w:val="0"/>
      <w:bCs w:val="0"/>
      <w:sz w:val="24"/>
      <w:szCs w:val="24"/>
      <w:lang w:eastAsia="ru-RU"/>
    </w:rPr>
  </w:style>
  <w:style w:type="paragraph" w:customStyle="1" w:styleId="af9">
    <w:name w:val="Подподпункт"/>
    <w:basedOn w:val="af0"/>
    <w:qFormat/>
    <w:pPr>
      <w:suppressAutoHyphens w:val="0"/>
    </w:pPr>
    <w:rPr>
      <w:lang w:eastAsia="ru-RU"/>
    </w:rPr>
  </w:style>
  <w:style w:type="paragraph" w:customStyle="1" w:styleId="210">
    <w:name w:val="Основной текст 2 Знак1"/>
    <w:basedOn w:val="af"/>
    <w:link w:val="27"/>
    <w:qFormat/>
    <w:pPr>
      <w:keepNext/>
      <w:spacing w:before="240" w:after="120" w:line="240" w:lineRule="auto"/>
      <w:jc w:val="left"/>
      <w:outlineLvl w:val="2"/>
    </w:pPr>
    <w:rPr>
      <w:b/>
      <w:lang w:eastAsia="ru-RU"/>
    </w:rPr>
  </w:style>
  <w:style w:type="paragraph" w:customStyle="1" w:styleId="afa">
    <w:name w:val="Знак Знак Знак"/>
    <w:basedOn w:val="a"/>
    <w:qFormat/>
    <w:pPr>
      <w:widowControl/>
      <w:tabs>
        <w:tab w:val="left" w:pos="360"/>
      </w:tabs>
      <w:suppressAutoHyphens w:val="0"/>
      <w:spacing w:after="160" w:line="240" w:lineRule="exact"/>
    </w:pPr>
    <w:rPr>
      <w:rFonts w:ascii="Verdana" w:hAnsi="Verdana" w:cs="Verdana"/>
      <w:b w:val="0"/>
      <w:bCs w:val="0"/>
      <w:lang w:val="en-US" w:eastAsia="en-US"/>
    </w:rPr>
  </w:style>
  <w:style w:type="paragraph" w:styleId="34">
    <w:name w:val="Body Text 3"/>
    <w:basedOn w:val="a"/>
    <w:qFormat/>
    <w:pPr>
      <w:widowControl/>
      <w:suppressAutoHyphens w:val="0"/>
      <w:spacing w:after="120"/>
    </w:pPr>
    <w:rPr>
      <w:b w:val="0"/>
      <w:bCs w:val="0"/>
      <w:sz w:val="16"/>
      <w:szCs w:val="16"/>
      <w:lang w:val="x-none" w:eastAsia="x-none"/>
    </w:rPr>
  </w:style>
  <w:style w:type="paragraph" w:customStyle="1" w:styleId="120">
    <w:name w:val="Обычный 12"/>
    <w:basedOn w:val="a"/>
    <w:qFormat/>
    <w:pPr>
      <w:widowControl/>
      <w:suppressAutoHyphens w:val="0"/>
      <w:jc w:val="both"/>
    </w:pPr>
    <w:rPr>
      <w:b w:val="0"/>
      <w:bCs w:val="0"/>
      <w:sz w:val="24"/>
      <w:lang w:eastAsia="ru-RU"/>
    </w:rPr>
  </w:style>
  <w:style w:type="paragraph" w:customStyle="1" w:styleId="afb">
    <w:name w:val="Пояснительная записка(ТЕКСТ) Знак"/>
    <w:basedOn w:val="a"/>
    <w:qFormat/>
    <w:pPr>
      <w:widowControl/>
      <w:suppressAutoHyphens w:val="0"/>
      <w:spacing w:line="360" w:lineRule="auto"/>
      <w:ind w:left="1026" w:right="285"/>
      <w:jc w:val="both"/>
    </w:pPr>
    <w:rPr>
      <w:b w:val="0"/>
      <w:bCs w:val="0"/>
      <w:sz w:val="28"/>
      <w:szCs w:val="28"/>
      <w:lang w:val="x-none" w:eastAsia="x-none"/>
    </w:rPr>
  </w:style>
  <w:style w:type="paragraph" w:customStyle="1" w:styleId="Anton2">
    <w:name w:val="Anton 2"/>
    <w:basedOn w:val="2"/>
    <w:qFormat/>
    <w:pPr>
      <w:numPr>
        <w:ilvl w:val="0"/>
        <w:numId w:val="0"/>
      </w:numPr>
      <w:tabs>
        <w:tab w:val="left" w:pos="360"/>
      </w:tabs>
      <w:suppressAutoHyphens w:val="0"/>
      <w:spacing w:before="60" w:after="60"/>
      <w:ind w:firstLine="709"/>
      <w:jc w:val="both"/>
    </w:pPr>
    <w:rPr>
      <w:rFonts w:ascii="Courier New" w:hAnsi="Courier New"/>
      <w:b w:val="0"/>
      <w:color w:val="000000"/>
      <w:sz w:val="24"/>
      <w:szCs w:val="24"/>
      <w:lang w:eastAsia="ru-RU"/>
    </w:rPr>
  </w:style>
  <w:style w:type="paragraph" w:styleId="35">
    <w:name w:val="Body Text Indent 3"/>
    <w:basedOn w:val="a"/>
    <w:uiPriority w:val="99"/>
    <w:unhideWhenUsed/>
    <w:qFormat/>
    <w:pPr>
      <w:widowControl/>
      <w:suppressAutoHyphens w:val="0"/>
      <w:spacing w:after="120"/>
      <w:ind w:left="283"/>
    </w:pPr>
    <w:rPr>
      <w:b w:val="0"/>
      <w:bCs w:val="0"/>
      <w:sz w:val="16"/>
      <w:szCs w:val="16"/>
      <w:lang w:val="x-none" w:eastAsia="x-none"/>
    </w:rPr>
  </w:style>
  <w:style w:type="paragraph" w:customStyle="1" w:styleId="33">
    <w:name w:val="Основной текст3"/>
    <w:basedOn w:val="a"/>
    <w:link w:val="32"/>
    <w:qFormat/>
    <w:pPr>
      <w:shd w:val="clear" w:color="auto" w:fill="FFFFFF"/>
      <w:suppressAutoHyphens w:val="0"/>
      <w:jc w:val="both"/>
    </w:pPr>
    <w:rPr>
      <w:b w:val="0"/>
      <w:bCs w:val="0"/>
      <w:lang w:eastAsia="ru-RU"/>
    </w:rPr>
  </w:style>
  <w:style w:type="table" w:styleId="af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text"/>
    <w:basedOn w:val="a"/>
    <w:link w:val="afe"/>
  </w:style>
  <w:style w:type="character" w:customStyle="1" w:styleId="afe">
    <w:name w:val="Текст примечания Знак"/>
    <w:basedOn w:val="a0"/>
    <w:link w:val="afd"/>
    <w:rPr>
      <w:b/>
      <w:bCs/>
      <w:lang w:eastAsia="ar-SA"/>
    </w:rPr>
  </w:style>
  <w:style w:type="character" w:styleId="aff">
    <w:name w:val="annotation reference"/>
    <w:basedOn w:val="a0"/>
    <w:rPr>
      <w:sz w:val="16"/>
      <w:szCs w:val="16"/>
    </w:rPr>
  </w:style>
  <w:style w:type="paragraph" w:styleId="aff0">
    <w:name w:val="annotation subject"/>
    <w:basedOn w:val="afd"/>
    <w:next w:val="afd"/>
    <w:link w:val="aff1"/>
  </w:style>
  <w:style w:type="character" w:customStyle="1" w:styleId="aff1">
    <w:name w:val="Тема примечания Знак"/>
    <w:basedOn w:val="afe"/>
    <w:link w:val="aff0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ACC0-9AE0-4F32-B98D-FB98C00C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TE</Company>
  <LinksUpToDate>false</LinksUpToDate>
  <CharactersWithSpaces>23633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KulakovI</dc:creator>
  <dc:description/>
  <cp:lastModifiedBy>Петров Евгений Александрович</cp:lastModifiedBy>
  <cp:revision>2</cp:revision>
  <cp:lastPrinted>2017-07-12T03:37:00Z</cp:lastPrinted>
  <dcterms:created xsi:type="dcterms:W3CDTF">2017-07-12T03:39:00Z</dcterms:created>
  <dcterms:modified xsi:type="dcterms:W3CDTF">2017-07-12T03:39:00Z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